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6824" w14:textId="72DEA5C7" w:rsidR="00E31EF0" w:rsidRDefault="00134B96" w:rsidP="00C775D3">
      <w:pPr>
        <w:pBdr>
          <w:top w:val="single" w:sz="18" w:space="1" w:color="auto"/>
          <w:left w:val="single" w:sz="18" w:space="4" w:color="auto"/>
          <w:bottom w:val="single" w:sz="18" w:space="1" w:color="auto"/>
          <w:right w:val="single" w:sz="18" w:space="4" w:color="auto"/>
        </w:pBdr>
        <w:spacing w:after="0" w:line="240" w:lineRule="auto"/>
        <w:jc w:val="center"/>
        <w:rPr>
          <w:rFonts w:eastAsia="Times New Roman" w:cstheme="minorHAnsi"/>
          <w:b/>
          <w:bCs/>
          <w:color w:val="C00000"/>
          <w:sz w:val="28"/>
          <w:szCs w:val="28"/>
        </w:rPr>
      </w:pPr>
      <w:r w:rsidRPr="00926832">
        <w:rPr>
          <w:rFonts w:eastAsia="Times New Roman" w:cstheme="minorHAnsi"/>
          <w:b/>
          <w:bCs/>
          <w:color w:val="C00000"/>
          <w:sz w:val="28"/>
          <w:szCs w:val="28"/>
        </w:rPr>
        <w:t xml:space="preserve">Econ 590 </w:t>
      </w:r>
      <w:r w:rsidR="004F6B75" w:rsidRPr="00926832">
        <w:rPr>
          <w:rFonts w:eastAsia="Times New Roman" w:cstheme="minorHAnsi"/>
          <w:b/>
          <w:bCs/>
          <w:color w:val="C00000"/>
          <w:sz w:val="28"/>
          <w:szCs w:val="28"/>
        </w:rPr>
        <w:t>Special Topics. Applied microeconomics in health care</w:t>
      </w:r>
    </w:p>
    <w:p w14:paraId="0AE08182" w14:textId="248CAC62" w:rsidR="004F6B75" w:rsidRPr="00E31EF0" w:rsidRDefault="00716548" w:rsidP="00C775D3">
      <w:pPr>
        <w:pBdr>
          <w:top w:val="single" w:sz="18" w:space="1" w:color="auto"/>
          <w:left w:val="single" w:sz="18" w:space="4" w:color="auto"/>
          <w:bottom w:val="single" w:sz="18" w:space="1" w:color="auto"/>
          <w:right w:val="single" w:sz="18" w:space="4" w:color="auto"/>
        </w:pBdr>
        <w:spacing w:after="0" w:line="240" w:lineRule="auto"/>
        <w:jc w:val="center"/>
        <w:rPr>
          <w:rFonts w:eastAsia="Times New Roman" w:cstheme="minorHAnsi"/>
          <w:color w:val="C00000"/>
          <w:sz w:val="28"/>
          <w:szCs w:val="28"/>
        </w:rPr>
      </w:pPr>
      <w:r w:rsidRPr="00E31EF0">
        <w:rPr>
          <w:rFonts w:eastAsia="Times New Roman" w:cstheme="minorHAnsi"/>
          <w:color w:val="C00000"/>
        </w:rPr>
        <w:t xml:space="preserve">Fall </w:t>
      </w:r>
      <w:r w:rsidR="00CC189A">
        <w:rPr>
          <w:rFonts w:eastAsia="Times New Roman" w:cstheme="minorHAnsi"/>
          <w:color w:val="C00000"/>
        </w:rPr>
        <w:t xml:space="preserve">semester </w:t>
      </w:r>
      <w:r w:rsidRPr="00E31EF0">
        <w:rPr>
          <w:rFonts w:eastAsia="Times New Roman" w:cstheme="minorHAnsi"/>
          <w:color w:val="C00000"/>
        </w:rPr>
        <w:t>2021</w:t>
      </w:r>
    </w:p>
    <w:p w14:paraId="136CB357" w14:textId="180866DB" w:rsidR="00274013" w:rsidRDefault="00274013" w:rsidP="00E31EF0">
      <w:pPr>
        <w:spacing w:after="0" w:line="240" w:lineRule="auto"/>
        <w:jc w:val="center"/>
        <w:rPr>
          <w:rFonts w:eastAsia="Times New Roman" w:cstheme="minorHAnsi"/>
        </w:rPr>
      </w:pPr>
    </w:p>
    <w:p w14:paraId="155EA3BF" w14:textId="2239A600" w:rsidR="00A37BE5" w:rsidRPr="008978B1" w:rsidRDefault="00A37BE5" w:rsidP="004F6B75">
      <w:pPr>
        <w:spacing w:after="0" w:line="240" w:lineRule="auto"/>
        <w:rPr>
          <w:rFonts w:eastAsia="Times New Roman" w:cstheme="minorHAnsi"/>
          <w:b/>
          <w:bCs/>
          <w:color w:val="0070C0"/>
          <w:sz w:val="28"/>
          <w:szCs w:val="28"/>
        </w:rPr>
      </w:pPr>
      <w:r w:rsidRPr="008978B1">
        <w:rPr>
          <w:rFonts w:eastAsia="Times New Roman" w:cstheme="minorHAnsi"/>
          <w:b/>
          <w:bCs/>
          <w:color w:val="0070C0"/>
          <w:sz w:val="28"/>
          <w:szCs w:val="28"/>
        </w:rPr>
        <w:t>Summary</w:t>
      </w:r>
    </w:p>
    <w:p w14:paraId="61D50E9F" w14:textId="1F13E51E" w:rsidR="004F6B75" w:rsidRPr="00DE5D69" w:rsidRDefault="004F6B75" w:rsidP="00BC47B7">
      <w:pPr>
        <w:spacing w:before="120" w:after="0" w:line="240" w:lineRule="auto"/>
        <w:rPr>
          <w:rFonts w:eastAsia="Times New Roman" w:cstheme="minorHAnsi"/>
        </w:rPr>
      </w:pPr>
      <w:r w:rsidRPr="00DE5D69">
        <w:rPr>
          <w:rFonts w:eastAsia="Times New Roman" w:cstheme="minorHAnsi"/>
        </w:rPr>
        <w:t xml:space="preserve">This </w:t>
      </w:r>
      <w:r w:rsidR="006E0A74">
        <w:rPr>
          <w:rFonts w:eastAsia="Times New Roman" w:cstheme="minorHAnsi"/>
        </w:rPr>
        <w:t>3 credit</w:t>
      </w:r>
      <w:r w:rsidR="00FD00DD">
        <w:rPr>
          <w:rFonts w:eastAsia="Times New Roman" w:cstheme="minorHAnsi"/>
        </w:rPr>
        <w:t>-</w:t>
      </w:r>
      <w:r w:rsidR="006E0A74">
        <w:rPr>
          <w:rFonts w:eastAsia="Times New Roman" w:cstheme="minorHAnsi"/>
        </w:rPr>
        <w:t xml:space="preserve">hour </w:t>
      </w:r>
      <w:r w:rsidRPr="00DE5D69">
        <w:rPr>
          <w:rFonts w:eastAsia="Times New Roman" w:cstheme="minorHAnsi"/>
        </w:rPr>
        <w:t>course will apply microeconomic methods to health, health care, and other related topics. The course will emphasize social policy and consider the economics of current issues such as the opioid crisis and other substance use; mental health care; issues related to behavioral health such as criminal justice and homelessness; social determinants of health; the Patient Protection and Affordable Care Act; and public health insurance (Medicaid, etc). Pre-requisites are a C or better in ECON 400 (Introduction to Econometrics) and 410 (Intermediate Microeconomics).</w:t>
      </w:r>
    </w:p>
    <w:p w14:paraId="3209667A" w14:textId="19A29468" w:rsidR="0009104C" w:rsidRDefault="00E71307" w:rsidP="000B4B79">
      <w:pPr>
        <w:spacing w:before="120" w:after="0"/>
        <w:rPr>
          <w:rFonts w:cstheme="minorHAnsi"/>
          <w:b/>
          <w:bCs/>
          <w:color w:val="C00000"/>
        </w:rPr>
      </w:pPr>
      <w:r w:rsidRPr="00E31EF0">
        <w:rPr>
          <w:rFonts w:cstheme="minorHAnsi"/>
          <w:b/>
          <w:bCs/>
          <w:color w:val="C00000"/>
        </w:rPr>
        <w:t xml:space="preserve">Who </w:t>
      </w:r>
      <w:r w:rsidR="000D1306">
        <w:rPr>
          <w:rFonts w:cstheme="minorHAnsi"/>
          <w:b/>
          <w:bCs/>
          <w:color w:val="C00000"/>
        </w:rPr>
        <w:t xml:space="preserve">should take this </w:t>
      </w:r>
      <w:r w:rsidRPr="00E31EF0">
        <w:rPr>
          <w:rFonts w:cstheme="minorHAnsi"/>
          <w:b/>
          <w:bCs/>
          <w:color w:val="C00000"/>
        </w:rPr>
        <w:t>course</w:t>
      </w:r>
      <w:r w:rsidR="000D1306">
        <w:rPr>
          <w:rFonts w:cstheme="minorHAnsi"/>
          <w:b/>
          <w:bCs/>
          <w:color w:val="C00000"/>
        </w:rPr>
        <w:t>?</w:t>
      </w:r>
    </w:p>
    <w:p w14:paraId="05A92E77" w14:textId="4307A9E5" w:rsidR="00142EE5" w:rsidRPr="00DE5D69" w:rsidRDefault="000D1306" w:rsidP="000B4B79">
      <w:pPr>
        <w:spacing w:after="120"/>
        <w:rPr>
          <w:rFonts w:cstheme="minorHAnsi"/>
        </w:rPr>
      </w:pPr>
      <w:r>
        <w:rPr>
          <w:rFonts w:cstheme="minorHAnsi"/>
        </w:rPr>
        <w:t>Motivated students majoring in e</w:t>
      </w:r>
      <w:r w:rsidR="00750D8D" w:rsidRPr="00DE5D69">
        <w:rPr>
          <w:rFonts w:cstheme="minorHAnsi"/>
        </w:rPr>
        <w:t xml:space="preserve">conomics </w:t>
      </w:r>
      <w:r>
        <w:rPr>
          <w:rFonts w:cstheme="minorHAnsi"/>
        </w:rPr>
        <w:t xml:space="preserve">or a </w:t>
      </w:r>
      <w:r w:rsidR="00975CF0">
        <w:rPr>
          <w:rFonts w:cstheme="minorHAnsi"/>
        </w:rPr>
        <w:t xml:space="preserve">related </w:t>
      </w:r>
      <w:r w:rsidR="00750D8D" w:rsidRPr="00DE5D69">
        <w:rPr>
          <w:rFonts w:cstheme="minorHAnsi"/>
        </w:rPr>
        <w:t>major</w:t>
      </w:r>
    </w:p>
    <w:p w14:paraId="21C0C7C4" w14:textId="43E3D599" w:rsidR="009E259E" w:rsidRPr="00FF41F0" w:rsidRDefault="000D1306" w:rsidP="000F5893">
      <w:pPr>
        <w:spacing w:before="120" w:after="0"/>
        <w:rPr>
          <w:rFonts w:cstheme="minorHAnsi"/>
          <w:b/>
          <w:bCs/>
          <w:color w:val="C00000"/>
        </w:rPr>
      </w:pPr>
      <w:r w:rsidRPr="000D1306">
        <w:rPr>
          <w:rFonts w:cstheme="minorHAnsi"/>
          <w:b/>
          <w:bCs/>
          <w:color w:val="C00000"/>
        </w:rPr>
        <w:t>L</w:t>
      </w:r>
      <w:r w:rsidR="009E259E" w:rsidRPr="00E31EF0">
        <w:rPr>
          <w:rFonts w:cstheme="minorHAnsi"/>
          <w:b/>
          <w:bCs/>
          <w:color w:val="C00000"/>
        </w:rPr>
        <w:t>earning objectives</w:t>
      </w:r>
      <w:r w:rsidR="009E259E" w:rsidRPr="00FF41F0">
        <w:rPr>
          <w:rFonts w:cstheme="minorHAnsi"/>
          <w:b/>
          <w:bCs/>
          <w:color w:val="C00000"/>
        </w:rPr>
        <w:t xml:space="preserve"> </w:t>
      </w:r>
    </w:p>
    <w:p w14:paraId="7BBC7248" w14:textId="77777777" w:rsidR="009E259E" w:rsidRPr="00E31EF0" w:rsidRDefault="009E259E" w:rsidP="000D1306">
      <w:pPr>
        <w:pStyle w:val="ListParagraph"/>
        <w:numPr>
          <w:ilvl w:val="0"/>
          <w:numId w:val="6"/>
        </w:numPr>
        <w:autoSpaceDE w:val="0"/>
        <w:autoSpaceDN w:val="0"/>
        <w:adjustRightInd w:val="0"/>
        <w:spacing w:after="0" w:line="240" w:lineRule="auto"/>
        <w:rPr>
          <w:rFonts w:cstheme="minorHAnsi"/>
        </w:rPr>
      </w:pPr>
      <w:r w:rsidRPr="00E31EF0">
        <w:rPr>
          <w:rFonts w:cstheme="minorHAnsi"/>
        </w:rPr>
        <w:t>Understand and apply economic models to health and health care, crime and criminal justice, housing among the poor and homelessness, and other socially relevant areas</w:t>
      </w:r>
    </w:p>
    <w:p w14:paraId="07792A52" w14:textId="77777777" w:rsidR="009E259E" w:rsidRPr="00E31EF0" w:rsidRDefault="009E259E" w:rsidP="000D1306">
      <w:pPr>
        <w:pStyle w:val="ListParagraph"/>
        <w:numPr>
          <w:ilvl w:val="0"/>
          <w:numId w:val="6"/>
        </w:numPr>
        <w:autoSpaceDE w:val="0"/>
        <w:autoSpaceDN w:val="0"/>
        <w:adjustRightInd w:val="0"/>
        <w:spacing w:after="0" w:line="240" w:lineRule="auto"/>
        <w:rPr>
          <w:rFonts w:cstheme="minorHAnsi"/>
        </w:rPr>
      </w:pPr>
      <w:r w:rsidRPr="00E31EF0">
        <w:rPr>
          <w:rFonts w:cstheme="minorHAnsi"/>
        </w:rPr>
        <w:t>Review and evaluate empirical evidence</w:t>
      </w:r>
    </w:p>
    <w:p w14:paraId="4E59507F" w14:textId="77777777" w:rsidR="009E259E" w:rsidRPr="00E31EF0" w:rsidRDefault="009E259E" w:rsidP="000D1306">
      <w:pPr>
        <w:pStyle w:val="ListParagraph"/>
        <w:numPr>
          <w:ilvl w:val="0"/>
          <w:numId w:val="6"/>
        </w:numPr>
        <w:autoSpaceDE w:val="0"/>
        <w:autoSpaceDN w:val="0"/>
        <w:adjustRightInd w:val="0"/>
        <w:spacing w:after="0" w:line="240" w:lineRule="auto"/>
        <w:rPr>
          <w:rFonts w:cstheme="minorHAnsi"/>
        </w:rPr>
      </w:pPr>
      <w:r w:rsidRPr="00E31EF0">
        <w:rPr>
          <w:rFonts w:cstheme="minorHAnsi"/>
        </w:rPr>
        <w:t xml:space="preserve">Think critically about issues in health, criminal justice, and homelessness </w:t>
      </w:r>
    </w:p>
    <w:p w14:paraId="537207A1" w14:textId="47099645" w:rsidR="009E259E" w:rsidRDefault="009E259E" w:rsidP="000D1306">
      <w:pPr>
        <w:pStyle w:val="ListParagraph"/>
        <w:numPr>
          <w:ilvl w:val="0"/>
          <w:numId w:val="6"/>
        </w:numPr>
        <w:rPr>
          <w:rFonts w:cstheme="minorHAnsi"/>
        </w:rPr>
      </w:pPr>
      <w:r w:rsidRPr="00E31EF0">
        <w:rPr>
          <w:rFonts w:cstheme="minorHAnsi"/>
        </w:rPr>
        <w:t>Apply economic principles to a research project to be decided during the class</w:t>
      </w:r>
    </w:p>
    <w:p w14:paraId="55D6B74C" w14:textId="4DC7A664" w:rsidR="00D0696D" w:rsidRDefault="00D0696D" w:rsidP="000D1306">
      <w:pPr>
        <w:pStyle w:val="ListParagraph"/>
        <w:numPr>
          <w:ilvl w:val="0"/>
          <w:numId w:val="6"/>
        </w:numPr>
        <w:rPr>
          <w:rFonts w:cstheme="minorHAnsi"/>
        </w:rPr>
      </w:pPr>
      <w:r>
        <w:rPr>
          <w:rFonts w:cstheme="minorHAnsi"/>
        </w:rPr>
        <w:t xml:space="preserve">Master economic concepts </w:t>
      </w:r>
      <w:r w:rsidR="00822E0D">
        <w:rPr>
          <w:rFonts w:cstheme="minorHAnsi"/>
        </w:rPr>
        <w:t>to the degree of being able to discuss them in conversation</w:t>
      </w:r>
    </w:p>
    <w:p w14:paraId="7F47169A" w14:textId="2B81417F" w:rsidR="00822E0D" w:rsidRPr="00E31EF0" w:rsidRDefault="00822E0D" w:rsidP="000D1306">
      <w:pPr>
        <w:pStyle w:val="ListParagraph"/>
        <w:numPr>
          <w:ilvl w:val="0"/>
          <w:numId w:val="6"/>
        </w:numPr>
        <w:rPr>
          <w:rFonts w:cstheme="minorHAnsi"/>
        </w:rPr>
      </w:pPr>
      <w:r>
        <w:rPr>
          <w:rFonts w:cstheme="minorHAnsi"/>
        </w:rPr>
        <w:t xml:space="preserve">Demonstrate an ability to </w:t>
      </w:r>
      <w:r w:rsidR="00D31CC9">
        <w:rPr>
          <w:rFonts w:cstheme="minorHAnsi"/>
        </w:rPr>
        <w:t xml:space="preserve">use </w:t>
      </w:r>
      <w:r w:rsidR="00680863">
        <w:rPr>
          <w:rFonts w:cstheme="minorHAnsi"/>
        </w:rPr>
        <w:t xml:space="preserve">skills </w:t>
      </w:r>
      <w:r w:rsidR="009A034C">
        <w:rPr>
          <w:rFonts w:cstheme="minorHAnsi"/>
        </w:rPr>
        <w:t>valued in the wider world of work</w:t>
      </w:r>
      <w:r w:rsidR="00610AFE">
        <w:rPr>
          <w:rFonts w:cstheme="minorHAnsi"/>
        </w:rPr>
        <w:t xml:space="preserve"> </w:t>
      </w:r>
      <w:r w:rsidR="00327228">
        <w:rPr>
          <w:rFonts w:cstheme="minorHAnsi"/>
        </w:rPr>
        <w:t xml:space="preserve">such as </w:t>
      </w:r>
      <w:r w:rsidR="00D31CC9">
        <w:rPr>
          <w:rFonts w:cstheme="minorHAnsi"/>
        </w:rPr>
        <w:t>formulat</w:t>
      </w:r>
      <w:r w:rsidR="00610AFE">
        <w:rPr>
          <w:rFonts w:cstheme="minorHAnsi"/>
        </w:rPr>
        <w:t>ing</w:t>
      </w:r>
      <w:r w:rsidR="00D31CC9">
        <w:rPr>
          <w:rFonts w:cstheme="minorHAnsi"/>
        </w:rPr>
        <w:t xml:space="preserve"> </w:t>
      </w:r>
      <w:r w:rsidR="00680863">
        <w:rPr>
          <w:rFonts w:cstheme="minorHAnsi"/>
        </w:rPr>
        <w:t xml:space="preserve">an </w:t>
      </w:r>
      <w:r w:rsidR="00D31CC9">
        <w:rPr>
          <w:rFonts w:cstheme="minorHAnsi"/>
        </w:rPr>
        <w:t>idea</w:t>
      </w:r>
      <w:r w:rsidR="00680863">
        <w:rPr>
          <w:rFonts w:cstheme="minorHAnsi"/>
        </w:rPr>
        <w:t xml:space="preserve"> and </w:t>
      </w:r>
      <w:r w:rsidR="00610AFE">
        <w:rPr>
          <w:rFonts w:cstheme="minorHAnsi"/>
        </w:rPr>
        <w:t xml:space="preserve">then </w:t>
      </w:r>
      <w:r w:rsidR="00680863">
        <w:rPr>
          <w:rFonts w:cstheme="minorHAnsi"/>
        </w:rPr>
        <w:t>test</w:t>
      </w:r>
      <w:r w:rsidR="00610AFE">
        <w:rPr>
          <w:rFonts w:cstheme="minorHAnsi"/>
        </w:rPr>
        <w:t>ing</w:t>
      </w:r>
      <w:r w:rsidR="00680863">
        <w:rPr>
          <w:rFonts w:cstheme="minorHAnsi"/>
        </w:rPr>
        <w:t xml:space="preserve"> and research</w:t>
      </w:r>
      <w:r w:rsidR="00610AFE">
        <w:rPr>
          <w:rFonts w:cstheme="minorHAnsi"/>
        </w:rPr>
        <w:t>ing</w:t>
      </w:r>
      <w:r w:rsidR="00680863">
        <w:rPr>
          <w:rFonts w:cstheme="minorHAnsi"/>
        </w:rPr>
        <w:t xml:space="preserve"> it</w:t>
      </w:r>
      <w:r w:rsidR="00D31CC9">
        <w:rPr>
          <w:rFonts w:cstheme="minorHAnsi"/>
        </w:rPr>
        <w:t>,</w:t>
      </w:r>
      <w:r w:rsidR="00680863">
        <w:rPr>
          <w:rFonts w:cstheme="minorHAnsi"/>
        </w:rPr>
        <w:t xml:space="preserve"> </w:t>
      </w:r>
      <w:r w:rsidR="00327228">
        <w:rPr>
          <w:rFonts w:cstheme="minorHAnsi"/>
        </w:rPr>
        <w:t xml:space="preserve">and communicating </w:t>
      </w:r>
      <w:r w:rsidR="00610AFE">
        <w:rPr>
          <w:rFonts w:cstheme="minorHAnsi"/>
        </w:rPr>
        <w:t xml:space="preserve">results </w:t>
      </w:r>
      <w:r w:rsidR="00327228">
        <w:rPr>
          <w:rFonts w:cstheme="minorHAnsi"/>
        </w:rPr>
        <w:t>to a defined audience</w:t>
      </w:r>
      <w:r w:rsidR="00D31CC9">
        <w:rPr>
          <w:rFonts w:cstheme="minorHAnsi"/>
        </w:rPr>
        <w:t xml:space="preserve"> </w:t>
      </w:r>
      <w:r>
        <w:rPr>
          <w:rFonts w:cstheme="minorHAnsi"/>
        </w:rPr>
        <w:t xml:space="preserve"> </w:t>
      </w:r>
    </w:p>
    <w:p w14:paraId="743EFD53" w14:textId="1036B5E5" w:rsidR="00E75ADD" w:rsidRPr="00864DA1" w:rsidRDefault="00B62B39" w:rsidP="000F5893">
      <w:pPr>
        <w:spacing w:before="120" w:after="0"/>
        <w:rPr>
          <w:rFonts w:cstheme="minorHAnsi"/>
          <w:b/>
          <w:bCs/>
          <w:color w:val="C00000"/>
        </w:rPr>
      </w:pPr>
      <w:r w:rsidRPr="00864DA1">
        <w:rPr>
          <w:rFonts w:cstheme="minorHAnsi"/>
          <w:b/>
          <w:bCs/>
          <w:color w:val="C00000"/>
        </w:rPr>
        <w:t>When do we meet?</w:t>
      </w:r>
    </w:p>
    <w:p w14:paraId="16DA0493" w14:textId="5A10B11D" w:rsidR="00E75ADD" w:rsidRPr="00DE5D69" w:rsidRDefault="00E75ADD" w:rsidP="004250EE">
      <w:pPr>
        <w:pStyle w:val="BodyText"/>
        <w:shd w:val="clear" w:color="auto" w:fill="FFFFFF" w:themeFill="background1"/>
        <w:spacing w:before="120"/>
        <w:rPr>
          <w:rFonts w:asciiTheme="minorHAnsi" w:hAnsiTheme="minorHAnsi" w:cstheme="minorHAnsi"/>
          <w:color w:val="030303"/>
          <w:w w:val="105"/>
          <w:sz w:val="22"/>
          <w:szCs w:val="22"/>
        </w:rPr>
      </w:pPr>
      <w:r w:rsidRPr="00DE5D69">
        <w:rPr>
          <w:rFonts w:asciiTheme="minorHAnsi" w:hAnsiTheme="minorHAnsi" w:cstheme="minorHAnsi"/>
          <w:color w:val="030303"/>
          <w:w w:val="105"/>
          <w:sz w:val="22"/>
          <w:szCs w:val="22"/>
        </w:rPr>
        <w:t xml:space="preserve">Monday and Wednesday </w:t>
      </w:r>
      <w:r w:rsidR="009A0897" w:rsidRPr="00DE5D69">
        <w:rPr>
          <w:rFonts w:asciiTheme="minorHAnsi" w:hAnsiTheme="minorHAnsi" w:cstheme="minorHAnsi"/>
          <w:sz w:val="22"/>
          <w:szCs w:val="22"/>
        </w:rPr>
        <w:t>3:35pm to 4:50pm</w:t>
      </w:r>
      <w:r w:rsidRPr="00DE5D69">
        <w:rPr>
          <w:rFonts w:asciiTheme="minorHAnsi" w:hAnsiTheme="minorHAnsi" w:cstheme="minorHAnsi"/>
          <w:color w:val="030303"/>
          <w:w w:val="105"/>
          <w:sz w:val="22"/>
          <w:szCs w:val="22"/>
        </w:rPr>
        <w:t>, starting Wednesday August 18, 2021</w:t>
      </w:r>
      <w:r w:rsidR="004250EE">
        <w:rPr>
          <w:rFonts w:asciiTheme="minorHAnsi" w:hAnsiTheme="minorHAnsi" w:cstheme="minorHAnsi"/>
          <w:color w:val="030303"/>
          <w:w w:val="105"/>
          <w:sz w:val="22"/>
          <w:szCs w:val="22"/>
        </w:rPr>
        <w:t xml:space="preserve">; </w:t>
      </w:r>
      <w:r w:rsidR="00C11E81" w:rsidRPr="00DE5D69">
        <w:rPr>
          <w:rFonts w:asciiTheme="minorHAnsi" w:hAnsiTheme="minorHAnsi" w:cstheme="minorHAnsi"/>
          <w:color w:val="030303"/>
          <w:w w:val="105"/>
          <w:sz w:val="22"/>
          <w:szCs w:val="22"/>
        </w:rPr>
        <w:t>Gardner Hall (GA) 309</w:t>
      </w:r>
    </w:p>
    <w:p w14:paraId="789E2286" w14:textId="77777777" w:rsidR="00FF41F0" w:rsidRPr="00864DA1" w:rsidRDefault="00750D8D" w:rsidP="000F5893">
      <w:pPr>
        <w:spacing w:before="120" w:after="0"/>
        <w:rPr>
          <w:rFonts w:cstheme="minorHAnsi"/>
          <w:b/>
          <w:bCs/>
          <w:color w:val="C00000"/>
        </w:rPr>
      </w:pPr>
      <w:r w:rsidRPr="00864DA1">
        <w:rPr>
          <w:rFonts w:cstheme="minorHAnsi"/>
          <w:b/>
          <w:bCs/>
          <w:color w:val="C00000"/>
        </w:rPr>
        <w:t>Instructor information</w:t>
      </w:r>
    </w:p>
    <w:p w14:paraId="1F29ACFC" w14:textId="54617B2B" w:rsidR="00864DA1" w:rsidRDefault="00750D8D" w:rsidP="00864DA1">
      <w:pPr>
        <w:spacing w:after="120"/>
        <w:rPr>
          <w:rFonts w:cstheme="minorHAnsi"/>
        </w:rPr>
      </w:pPr>
      <w:r w:rsidRPr="00DE5D69">
        <w:rPr>
          <w:rFonts w:cstheme="minorHAnsi"/>
        </w:rPr>
        <w:t>Alex Cowell</w:t>
      </w:r>
      <w:r w:rsidR="00CC189A">
        <w:rPr>
          <w:rFonts w:cstheme="minorHAnsi"/>
        </w:rPr>
        <w:t>. V</w:t>
      </w:r>
      <w:r w:rsidR="007365C3" w:rsidRPr="00DE5D69">
        <w:rPr>
          <w:rFonts w:cstheme="minorHAnsi"/>
        </w:rPr>
        <w:t xml:space="preserve">irtual </w:t>
      </w:r>
      <w:r w:rsidR="00CE4665" w:rsidRPr="00DE5D69">
        <w:rPr>
          <w:rFonts w:cstheme="minorHAnsi"/>
        </w:rPr>
        <w:t xml:space="preserve">office hours </w:t>
      </w:r>
      <w:r w:rsidR="00FF5F29" w:rsidRPr="00DE5D69">
        <w:rPr>
          <w:rFonts w:cstheme="minorHAnsi"/>
        </w:rPr>
        <w:t>are by appointment</w:t>
      </w:r>
      <w:r w:rsidR="00137BA4" w:rsidRPr="00DE5D69">
        <w:rPr>
          <w:rFonts w:cstheme="minorHAnsi"/>
        </w:rPr>
        <w:t xml:space="preserve">. </w:t>
      </w:r>
      <w:r w:rsidR="006A60E0">
        <w:rPr>
          <w:rFonts w:cstheme="minorHAnsi"/>
        </w:rPr>
        <w:t>Main e</w:t>
      </w:r>
      <w:r w:rsidR="00AC2566" w:rsidRPr="00DE5D69">
        <w:rPr>
          <w:rFonts w:cstheme="minorHAnsi"/>
        </w:rPr>
        <w:t>mail address:</w:t>
      </w:r>
      <w:r w:rsidR="002E2826">
        <w:rPr>
          <w:rFonts w:cstheme="minorHAnsi"/>
        </w:rPr>
        <w:t xml:space="preserve"> </w:t>
      </w:r>
      <w:hyperlink r:id="rId7" w:history="1">
        <w:r w:rsidR="002E2826" w:rsidRPr="00FA5CC7">
          <w:rPr>
            <w:rStyle w:val="Hyperlink"/>
            <w:rFonts w:cstheme="minorHAnsi"/>
          </w:rPr>
          <w:t>acowell@unc.edu</w:t>
        </w:r>
      </w:hyperlink>
      <w:r w:rsidR="006A60E0">
        <w:rPr>
          <w:rFonts w:cstheme="minorHAnsi"/>
        </w:rPr>
        <w:t xml:space="preserve">. Back-up, personal email address </w:t>
      </w:r>
      <w:hyperlink r:id="rId8" w:history="1">
        <w:r w:rsidR="00AC2566" w:rsidRPr="00DE5D69">
          <w:rPr>
            <w:rStyle w:val="Hyperlink"/>
            <w:rFonts w:cstheme="minorHAnsi"/>
          </w:rPr>
          <w:t>alexcowell@protonmail.com</w:t>
        </w:r>
      </w:hyperlink>
      <w:r w:rsidR="00AC2566" w:rsidRPr="00DE5D69">
        <w:rPr>
          <w:rFonts w:cstheme="minorHAnsi"/>
        </w:rPr>
        <w:t xml:space="preserve">. I check my </w:t>
      </w:r>
      <w:r w:rsidR="006A60E0">
        <w:rPr>
          <w:rFonts w:cstheme="minorHAnsi"/>
        </w:rPr>
        <w:t xml:space="preserve">UNC </w:t>
      </w:r>
      <w:r w:rsidR="00AC2566" w:rsidRPr="00DE5D69">
        <w:rPr>
          <w:rFonts w:cstheme="minorHAnsi"/>
        </w:rPr>
        <w:t xml:space="preserve">email </w:t>
      </w:r>
      <w:r w:rsidR="002E2826">
        <w:rPr>
          <w:rFonts w:cstheme="minorHAnsi"/>
        </w:rPr>
        <w:t xml:space="preserve">at least every other </w:t>
      </w:r>
      <w:r w:rsidR="00F85446" w:rsidRPr="00DE5D69">
        <w:rPr>
          <w:rFonts w:cstheme="minorHAnsi"/>
        </w:rPr>
        <w:t xml:space="preserve">day. </w:t>
      </w:r>
    </w:p>
    <w:p w14:paraId="2F2314A6" w14:textId="2845F736" w:rsidR="00FF41F0" w:rsidRPr="00864DA1" w:rsidRDefault="00137BA4" w:rsidP="000B4B79">
      <w:pPr>
        <w:spacing w:before="120" w:after="0"/>
        <w:rPr>
          <w:rFonts w:cstheme="minorHAnsi"/>
          <w:b/>
          <w:bCs/>
          <w:color w:val="C10000"/>
        </w:rPr>
      </w:pPr>
      <w:r w:rsidRPr="00864DA1">
        <w:rPr>
          <w:rFonts w:cstheme="minorHAnsi"/>
          <w:b/>
          <w:bCs/>
          <w:color w:val="C00000"/>
        </w:rPr>
        <w:t>What to call me (to my face)</w:t>
      </w:r>
      <w:r w:rsidR="00AC2566" w:rsidRPr="00864DA1">
        <w:rPr>
          <w:rFonts w:cstheme="minorHAnsi"/>
          <w:b/>
          <w:bCs/>
          <w:color w:val="C10000"/>
        </w:rPr>
        <w:t xml:space="preserve"> </w:t>
      </w:r>
    </w:p>
    <w:p w14:paraId="12CBFB2F" w14:textId="603AB7EC" w:rsidR="00750D8D" w:rsidRDefault="00137BA4" w:rsidP="00BC47B7">
      <w:pPr>
        <w:pStyle w:val="BodyText"/>
        <w:pBdr>
          <w:bottom w:val="single" w:sz="12" w:space="1" w:color="auto"/>
        </w:pBdr>
        <w:shd w:val="clear" w:color="auto" w:fill="FFFFFF" w:themeFill="background1"/>
        <w:spacing w:after="120"/>
        <w:rPr>
          <w:rFonts w:asciiTheme="minorHAnsi" w:hAnsiTheme="minorHAnsi" w:cstheme="minorHAnsi"/>
          <w:color w:val="030303"/>
          <w:w w:val="105"/>
          <w:sz w:val="22"/>
          <w:szCs w:val="22"/>
        </w:rPr>
      </w:pPr>
      <w:r w:rsidRPr="00BC47B7">
        <w:rPr>
          <w:rFonts w:asciiTheme="minorHAnsi" w:hAnsiTheme="minorHAnsi" w:cstheme="minorHAnsi"/>
          <w:color w:val="030303"/>
          <w:w w:val="105"/>
          <w:sz w:val="22"/>
          <w:szCs w:val="22"/>
        </w:rPr>
        <w:t>Alex</w:t>
      </w:r>
      <w:r w:rsidR="0047651E" w:rsidRPr="00BC47B7">
        <w:rPr>
          <w:rFonts w:asciiTheme="minorHAnsi" w:hAnsiTheme="minorHAnsi" w:cstheme="minorHAnsi"/>
          <w:color w:val="030303"/>
          <w:w w:val="105"/>
          <w:sz w:val="22"/>
          <w:szCs w:val="22"/>
        </w:rPr>
        <w:t xml:space="preserve"> or Dr. Cowell</w:t>
      </w:r>
      <w:r w:rsidRPr="00BC47B7">
        <w:rPr>
          <w:rFonts w:asciiTheme="minorHAnsi" w:hAnsiTheme="minorHAnsi" w:cstheme="minorHAnsi"/>
          <w:color w:val="030303"/>
          <w:w w:val="105"/>
          <w:sz w:val="22"/>
          <w:szCs w:val="22"/>
        </w:rPr>
        <w:t xml:space="preserve">. </w:t>
      </w:r>
      <w:r w:rsidR="000277D1" w:rsidRPr="00BC47B7">
        <w:rPr>
          <w:rFonts w:asciiTheme="minorHAnsi" w:hAnsiTheme="minorHAnsi" w:cstheme="minorHAnsi"/>
          <w:color w:val="030303"/>
          <w:w w:val="105"/>
          <w:sz w:val="22"/>
          <w:szCs w:val="22"/>
        </w:rPr>
        <w:t>My p</w:t>
      </w:r>
      <w:r w:rsidR="00B7083E" w:rsidRPr="00BC47B7">
        <w:rPr>
          <w:rFonts w:asciiTheme="minorHAnsi" w:hAnsiTheme="minorHAnsi" w:cstheme="minorHAnsi"/>
          <w:color w:val="030303"/>
          <w:w w:val="105"/>
          <w:sz w:val="22"/>
          <w:szCs w:val="22"/>
        </w:rPr>
        <w:t>ronouns are</w:t>
      </w:r>
      <w:r w:rsidR="003C1A3C" w:rsidRPr="00BC47B7">
        <w:rPr>
          <w:rFonts w:asciiTheme="minorHAnsi" w:hAnsiTheme="minorHAnsi" w:cstheme="minorHAnsi"/>
          <w:color w:val="030303"/>
          <w:w w:val="105"/>
          <w:sz w:val="22"/>
          <w:szCs w:val="22"/>
        </w:rPr>
        <w:t xml:space="preserve"> he, him, and his.</w:t>
      </w:r>
    </w:p>
    <w:p w14:paraId="47AEBDAA" w14:textId="77777777" w:rsidR="00C0502D" w:rsidRPr="00BC47B7" w:rsidRDefault="00C0502D" w:rsidP="00BC47B7">
      <w:pPr>
        <w:pStyle w:val="BodyText"/>
        <w:pBdr>
          <w:bottom w:val="single" w:sz="12" w:space="1" w:color="auto"/>
        </w:pBdr>
        <w:shd w:val="clear" w:color="auto" w:fill="FFFFFF" w:themeFill="background1"/>
        <w:spacing w:after="120"/>
        <w:rPr>
          <w:rFonts w:asciiTheme="minorHAnsi" w:hAnsiTheme="minorHAnsi" w:cstheme="minorHAnsi"/>
          <w:color w:val="030303"/>
          <w:w w:val="105"/>
          <w:sz w:val="22"/>
          <w:szCs w:val="22"/>
        </w:rPr>
      </w:pPr>
    </w:p>
    <w:p w14:paraId="6B11225A" w14:textId="78C8D6CB" w:rsidR="00492994" w:rsidRPr="008978B1" w:rsidRDefault="00BF2EBB" w:rsidP="00492994">
      <w:pPr>
        <w:rPr>
          <w:rFonts w:cstheme="minorHAnsi"/>
          <w:b/>
          <w:bCs/>
          <w:color w:val="0070C0"/>
          <w:sz w:val="28"/>
          <w:szCs w:val="28"/>
        </w:rPr>
      </w:pPr>
      <w:r w:rsidRPr="008978B1">
        <w:rPr>
          <w:rFonts w:cstheme="minorHAnsi"/>
          <w:b/>
          <w:bCs/>
          <w:color w:val="0070C0"/>
          <w:sz w:val="28"/>
          <w:szCs w:val="28"/>
        </w:rPr>
        <w:t>Grading schema and scale</w:t>
      </w:r>
    </w:p>
    <w:p w14:paraId="0D2724D9" w14:textId="01612B09" w:rsidR="00881ECA" w:rsidRDefault="00881ECA" w:rsidP="0098764F">
      <w:pPr>
        <w:spacing w:before="120" w:after="0"/>
        <w:rPr>
          <w:rFonts w:cstheme="minorHAnsi"/>
          <w:b/>
          <w:bCs/>
          <w:color w:val="C00000"/>
        </w:rPr>
      </w:pPr>
      <w:r>
        <w:rPr>
          <w:rFonts w:cstheme="minorHAnsi"/>
          <w:b/>
          <w:bCs/>
          <w:color w:val="C00000"/>
        </w:rPr>
        <w:t>Grading</w:t>
      </w:r>
    </w:p>
    <w:p w14:paraId="409E7360" w14:textId="03F62524" w:rsidR="00112A1B" w:rsidRPr="00B03AB6" w:rsidRDefault="00881ECA" w:rsidP="00B03AB6">
      <w:pPr>
        <w:pStyle w:val="ListParagraph"/>
        <w:numPr>
          <w:ilvl w:val="0"/>
          <w:numId w:val="7"/>
        </w:numPr>
        <w:spacing w:before="120" w:after="0"/>
        <w:rPr>
          <w:rFonts w:cstheme="minorHAnsi"/>
          <w:color w:val="000000"/>
        </w:rPr>
      </w:pPr>
      <w:r w:rsidRPr="00B03AB6">
        <w:rPr>
          <w:rFonts w:cstheme="minorHAnsi"/>
          <w:color w:val="000000"/>
        </w:rPr>
        <w:t xml:space="preserve">Whenever </w:t>
      </w:r>
      <w:r w:rsidR="006701E1" w:rsidRPr="00B03AB6">
        <w:rPr>
          <w:rFonts w:cstheme="minorHAnsi"/>
          <w:color w:val="000000"/>
        </w:rPr>
        <w:t xml:space="preserve">possible I </w:t>
      </w:r>
      <w:r w:rsidR="00AE2FD0" w:rsidRPr="00B03AB6">
        <w:rPr>
          <w:rFonts w:cstheme="minorHAnsi"/>
          <w:color w:val="000000"/>
        </w:rPr>
        <w:t xml:space="preserve">hide </w:t>
      </w:r>
      <w:r w:rsidR="006701E1" w:rsidRPr="00B03AB6">
        <w:rPr>
          <w:rFonts w:cstheme="minorHAnsi"/>
          <w:color w:val="000000"/>
        </w:rPr>
        <w:t xml:space="preserve">a student’s name when grading. </w:t>
      </w:r>
      <w:r w:rsidR="00B44195" w:rsidRPr="00B03AB6">
        <w:rPr>
          <w:rFonts w:cstheme="minorHAnsi"/>
          <w:color w:val="000000"/>
        </w:rPr>
        <w:t>This is possible with the midterm, the paper, and the final.</w:t>
      </w:r>
    </w:p>
    <w:p w14:paraId="07BCA59B" w14:textId="69334DD8" w:rsidR="00881ECA" w:rsidRPr="00B03AB6" w:rsidRDefault="00112A1B" w:rsidP="00B03AB6">
      <w:pPr>
        <w:pStyle w:val="ListParagraph"/>
        <w:numPr>
          <w:ilvl w:val="0"/>
          <w:numId w:val="7"/>
        </w:numPr>
        <w:spacing w:before="120" w:after="0"/>
        <w:rPr>
          <w:rFonts w:cstheme="minorHAnsi"/>
          <w:color w:val="000000"/>
        </w:rPr>
      </w:pPr>
      <w:r w:rsidRPr="00B03AB6">
        <w:rPr>
          <w:rFonts w:cstheme="minorHAnsi"/>
          <w:color w:val="000000"/>
        </w:rPr>
        <w:t xml:space="preserve">Final </w:t>
      </w:r>
      <w:r w:rsidR="00896C3D" w:rsidRPr="00B03AB6">
        <w:rPr>
          <w:rFonts w:cstheme="minorHAnsi"/>
          <w:color w:val="000000"/>
        </w:rPr>
        <w:t xml:space="preserve">numeric grades </w:t>
      </w:r>
      <w:r w:rsidRPr="00B03AB6">
        <w:rPr>
          <w:rFonts w:cstheme="minorHAnsi"/>
          <w:color w:val="000000"/>
        </w:rPr>
        <w:t>are automatically round</w:t>
      </w:r>
      <w:r w:rsidR="00896C3D" w:rsidRPr="00B03AB6">
        <w:rPr>
          <w:rFonts w:cstheme="minorHAnsi"/>
          <w:color w:val="000000"/>
        </w:rPr>
        <w:t>ed</w:t>
      </w:r>
      <w:r w:rsidRPr="00B03AB6">
        <w:rPr>
          <w:rFonts w:cstheme="minorHAnsi"/>
          <w:color w:val="000000"/>
        </w:rPr>
        <w:t xml:space="preserve"> up or down to the nearest integer, with 0.5 being rounded up.</w:t>
      </w:r>
    </w:p>
    <w:p w14:paraId="056C3C53" w14:textId="4B4CFCDA" w:rsidR="00112A1B" w:rsidRPr="00B03AB6" w:rsidRDefault="00896C3D" w:rsidP="00B03AB6">
      <w:pPr>
        <w:pStyle w:val="ListParagraph"/>
        <w:numPr>
          <w:ilvl w:val="0"/>
          <w:numId w:val="7"/>
        </w:numPr>
        <w:spacing w:before="120" w:after="0"/>
        <w:rPr>
          <w:rFonts w:cstheme="minorHAnsi"/>
          <w:color w:val="000000"/>
        </w:rPr>
      </w:pPr>
      <w:r w:rsidRPr="00B03AB6">
        <w:rPr>
          <w:rFonts w:cstheme="minorHAnsi"/>
          <w:color w:val="000000"/>
        </w:rPr>
        <w:t xml:space="preserve">The group project grade depends on </w:t>
      </w:r>
      <w:r w:rsidR="00AE2FD0" w:rsidRPr="00B03AB6">
        <w:rPr>
          <w:rFonts w:cstheme="minorHAnsi"/>
          <w:color w:val="000000"/>
        </w:rPr>
        <w:t xml:space="preserve">the contribution of both you and your fellow group members. </w:t>
      </w:r>
      <w:r w:rsidR="00B03AB6">
        <w:rPr>
          <w:rFonts w:cstheme="minorHAnsi"/>
          <w:color w:val="000000"/>
        </w:rPr>
        <w:t xml:space="preserve">As part of determining the group project grade, I ask every group member to report on </w:t>
      </w:r>
      <w:r w:rsidR="00E114BD">
        <w:rPr>
          <w:rFonts w:cstheme="minorHAnsi"/>
          <w:color w:val="000000"/>
        </w:rPr>
        <w:t xml:space="preserve">their own </w:t>
      </w:r>
      <w:r w:rsidR="00B03AB6">
        <w:rPr>
          <w:rFonts w:cstheme="minorHAnsi"/>
          <w:color w:val="000000"/>
        </w:rPr>
        <w:t>contribution</w:t>
      </w:r>
      <w:r w:rsidR="00E114BD">
        <w:rPr>
          <w:rFonts w:cstheme="minorHAnsi"/>
          <w:color w:val="000000"/>
        </w:rPr>
        <w:t xml:space="preserve"> as well as the contribution of each</w:t>
      </w:r>
      <w:r w:rsidR="00B03AB6">
        <w:rPr>
          <w:rFonts w:cstheme="minorHAnsi"/>
          <w:color w:val="000000"/>
        </w:rPr>
        <w:t xml:space="preserve"> of their </w:t>
      </w:r>
      <w:r w:rsidR="00E114BD">
        <w:rPr>
          <w:rFonts w:cstheme="minorHAnsi"/>
          <w:color w:val="000000"/>
        </w:rPr>
        <w:t xml:space="preserve">fellow </w:t>
      </w:r>
      <w:r w:rsidR="00B03AB6">
        <w:rPr>
          <w:rFonts w:cstheme="minorHAnsi"/>
          <w:color w:val="000000"/>
        </w:rPr>
        <w:t>group member</w:t>
      </w:r>
      <w:r w:rsidR="00E114BD">
        <w:rPr>
          <w:rFonts w:cstheme="minorHAnsi"/>
          <w:color w:val="000000"/>
        </w:rPr>
        <w:t>s</w:t>
      </w:r>
      <w:r w:rsidR="00B03AB6">
        <w:rPr>
          <w:rFonts w:cstheme="minorHAnsi"/>
          <w:color w:val="000000"/>
        </w:rPr>
        <w:t>.</w:t>
      </w:r>
    </w:p>
    <w:p w14:paraId="33DA1B39" w14:textId="2BEF0F35" w:rsidR="00D5460B" w:rsidRPr="000F5893" w:rsidRDefault="00F94EB3" w:rsidP="0098764F">
      <w:pPr>
        <w:spacing w:before="120" w:after="0"/>
        <w:rPr>
          <w:rFonts w:cstheme="minorHAnsi"/>
          <w:b/>
          <w:bCs/>
          <w:color w:val="C00000"/>
        </w:rPr>
      </w:pPr>
      <w:r w:rsidRPr="000F5893">
        <w:rPr>
          <w:rFonts w:cstheme="minorHAnsi"/>
          <w:b/>
          <w:bCs/>
          <w:color w:val="C00000"/>
        </w:rPr>
        <w:lastRenderedPageBreak/>
        <w:t>Grading weight</w:t>
      </w:r>
    </w:p>
    <w:p w14:paraId="6871634D" w14:textId="7B934B8F" w:rsidR="00F94EB3" w:rsidRPr="00DE5D69" w:rsidRDefault="00F94EB3" w:rsidP="00F94EB3">
      <w:pPr>
        <w:pStyle w:val="NoSpacing"/>
        <w:rPr>
          <w:rFonts w:asciiTheme="minorHAnsi" w:hAnsiTheme="minorHAnsi" w:cstheme="minorHAnsi"/>
        </w:rPr>
      </w:pPr>
      <w:r w:rsidRPr="00DE5D69">
        <w:rPr>
          <w:rFonts w:asciiTheme="minorHAnsi" w:hAnsiTheme="minorHAnsi" w:cstheme="minorHAnsi"/>
        </w:rPr>
        <w:t>Midterm Exam</w:t>
      </w:r>
      <w:r w:rsidRPr="00DE5D69">
        <w:rPr>
          <w:rFonts w:asciiTheme="minorHAnsi" w:hAnsiTheme="minorHAnsi" w:cstheme="minorHAnsi"/>
        </w:rPr>
        <w:tab/>
      </w:r>
      <w:r w:rsidR="00850F22" w:rsidRPr="00DE5D69">
        <w:rPr>
          <w:rFonts w:asciiTheme="minorHAnsi" w:hAnsiTheme="minorHAnsi" w:cstheme="minorHAnsi"/>
        </w:rPr>
        <w:tab/>
      </w:r>
      <w:r w:rsidR="00880885">
        <w:rPr>
          <w:rFonts w:asciiTheme="minorHAnsi" w:hAnsiTheme="minorHAnsi" w:cstheme="minorHAnsi"/>
        </w:rPr>
        <w:tab/>
      </w:r>
      <w:r w:rsidR="005F0567">
        <w:rPr>
          <w:rFonts w:asciiTheme="minorHAnsi" w:hAnsiTheme="minorHAnsi" w:cstheme="minorHAnsi"/>
        </w:rPr>
        <w:tab/>
      </w:r>
      <w:r w:rsidR="00757DD8" w:rsidRPr="00DE5D69">
        <w:rPr>
          <w:rFonts w:asciiTheme="minorHAnsi" w:hAnsiTheme="minorHAnsi" w:cstheme="minorHAnsi"/>
        </w:rPr>
        <w:t>15</w:t>
      </w:r>
      <w:r w:rsidRPr="00DE5D69">
        <w:rPr>
          <w:rFonts w:asciiTheme="minorHAnsi" w:hAnsiTheme="minorHAnsi" w:cstheme="minorHAnsi"/>
        </w:rPr>
        <w:t xml:space="preserve">% </w:t>
      </w:r>
    </w:p>
    <w:p w14:paraId="60FB5DA8" w14:textId="5CC6A5E2" w:rsidR="00F94EB3" w:rsidRPr="00DE5D69" w:rsidRDefault="00F94EB3" w:rsidP="00F94EB3">
      <w:pPr>
        <w:pStyle w:val="NoSpacing"/>
        <w:rPr>
          <w:rFonts w:asciiTheme="minorHAnsi" w:hAnsiTheme="minorHAnsi" w:cstheme="minorHAnsi"/>
        </w:rPr>
      </w:pPr>
      <w:r w:rsidRPr="00DE5D69">
        <w:rPr>
          <w:rFonts w:asciiTheme="minorHAnsi" w:hAnsiTheme="minorHAnsi" w:cstheme="minorHAnsi"/>
        </w:rPr>
        <w:t>Final Exam</w:t>
      </w:r>
      <w:r w:rsidRPr="00DE5D69">
        <w:rPr>
          <w:rFonts w:asciiTheme="minorHAnsi" w:hAnsiTheme="minorHAnsi" w:cstheme="minorHAnsi"/>
        </w:rPr>
        <w:tab/>
      </w:r>
      <w:r w:rsidRPr="00DE5D69">
        <w:rPr>
          <w:rFonts w:asciiTheme="minorHAnsi" w:hAnsiTheme="minorHAnsi" w:cstheme="minorHAnsi"/>
        </w:rPr>
        <w:tab/>
        <w:t xml:space="preserve"> </w:t>
      </w:r>
      <w:r w:rsidRPr="00DE5D69">
        <w:rPr>
          <w:rFonts w:asciiTheme="minorHAnsi" w:hAnsiTheme="minorHAnsi" w:cstheme="minorHAnsi"/>
        </w:rPr>
        <w:tab/>
      </w:r>
      <w:r w:rsidR="005F0567">
        <w:rPr>
          <w:rFonts w:asciiTheme="minorHAnsi" w:hAnsiTheme="minorHAnsi" w:cstheme="minorHAnsi"/>
        </w:rPr>
        <w:tab/>
      </w:r>
      <w:r w:rsidRPr="00DE5D69">
        <w:rPr>
          <w:rFonts w:asciiTheme="minorHAnsi" w:hAnsiTheme="minorHAnsi" w:cstheme="minorHAnsi"/>
        </w:rPr>
        <w:t>30%</w:t>
      </w:r>
    </w:p>
    <w:p w14:paraId="7FDF9B87" w14:textId="4BD6AF89" w:rsidR="00E16335" w:rsidRPr="00DE5D69" w:rsidRDefault="00DF3A21" w:rsidP="00F94EB3">
      <w:pPr>
        <w:pStyle w:val="NoSpacing"/>
        <w:rPr>
          <w:rFonts w:asciiTheme="minorHAnsi" w:hAnsiTheme="minorHAnsi" w:cstheme="minorHAnsi"/>
        </w:rPr>
      </w:pPr>
      <w:r w:rsidRPr="00DE5D69">
        <w:rPr>
          <w:rFonts w:asciiTheme="minorHAnsi" w:hAnsiTheme="minorHAnsi" w:cstheme="minorHAnsi"/>
        </w:rPr>
        <w:t xml:space="preserve">Paper </w:t>
      </w:r>
      <w:r w:rsidRPr="00DE5D69">
        <w:rPr>
          <w:rFonts w:asciiTheme="minorHAnsi" w:hAnsiTheme="minorHAnsi" w:cstheme="minorHAnsi"/>
        </w:rPr>
        <w:tab/>
      </w:r>
      <w:r w:rsidRPr="00DE5D69">
        <w:rPr>
          <w:rFonts w:asciiTheme="minorHAnsi" w:hAnsiTheme="minorHAnsi" w:cstheme="minorHAnsi"/>
        </w:rPr>
        <w:tab/>
      </w:r>
      <w:r w:rsidRPr="00DE5D69">
        <w:rPr>
          <w:rFonts w:asciiTheme="minorHAnsi" w:hAnsiTheme="minorHAnsi" w:cstheme="minorHAnsi"/>
        </w:rPr>
        <w:tab/>
      </w:r>
      <w:r w:rsidRPr="00DE5D69">
        <w:rPr>
          <w:rFonts w:asciiTheme="minorHAnsi" w:hAnsiTheme="minorHAnsi" w:cstheme="minorHAnsi"/>
        </w:rPr>
        <w:tab/>
      </w:r>
      <w:r w:rsidR="005F0567">
        <w:rPr>
          <w:rFonts w:asciiTheme="minorHAnsi" w:hAnsiTheme="minorHAnsi" w:cstheme="minorHAnsi"/>
        </w:rPr>
        <w:tab/>
      </w:r>
      <w:r w:rsidR="008831CB" w:rsidRPr="00DE5D69">
        <w:rPr>
          <w:rFonts w:asciiTheme="minorHAnsi" w:hAnsiTheme="minorHAnsi" w:cstheme="minorHAnsi"/>
        </w:rPr>
        <w:t>30</w:t>
      </w:r>
      <w:r w:rsidRPr="00DE5D69">
        <w:rPr>
          <w:rFonts w:asciiTheme="minorHAnsi" w:hAnsiTheme="minorHAnsi" w:cstheme="minorHAnsi"/>
        </w:rPr>
        <w:t>%</w:t>
      </w:r>
    </w:p>
    <w:p w14:paraId="2644EA52" w14:textId="0618EBD9" w:rsidR="00F94EB3" w:rsidRPr="00DE5D69" w:rsidRDefault="00E16335" w:rsidP="00F94EB3">
      <w:pPr>
        <w:pStyle w:val="NoSpacing"/>
        <w:rPr>
          <w:rFonts w:asciiTheme="minorHAnsi" w:hAnsiTheme="minorHAnsi" w:cstheme="minorHAnsi"/>
        </w:rPr>
      </w:pPr>
      <w:r w:rsidRPr="00DE5D69">
        <w:rPr>
          <w:rFonts w:asciiTheme="minorHAnsi" w:hAnsiTheme="minorHAnsi" w:cstheme="minorHAnsi"/>
        </w:rPr>
        <w:t xml:space="preserve">Group project </w:t>
      </w:r>
      <w:r w:rsidRPr="00DE5D69">
        <w:rPr>
          <w:rFonts w:asciiTheme="minorHAnsi" w:hAnsiTheme="minorHAnsi" w:cstheme="minorHAnsi"/>
        </w:rPr>
        <w:tab/>
      </w:r>
      <w:r w:rsidR="00F94EB3" w:rsidRPr="00DE5D69">
        <w:rPr>
          <w:rFonts w:asciiTheme="minorHAnsi" w:hAnsiTheme="minorHAnsi" w:cstheme="minorHAnsi"/>
        </w:rPr>
        <w:tab/>
      </w:r>
      <w:r w:rsidR="00F94EB3" w:rsidRPr="00DE5D69">
        <w:rPr>
          <w:rFonts w:asciiTheme="minorHAnsi" w:hAnsiTheme="minorHAnsi" w:cstheme="minorHAnsi"/>
        </w:rPr>
        <w:tab/>
      </w:r>
      <w:r w:rsidR="005F0567">
        <w:rPr>
          <w:rFonts w:asciiTheme="minorHAnsi" w:hAnsiTheme="minorHAnsi" w:cstheme="minorHAnsi"/>
        </w:rPr>
        <w:tab/>
      </w:r>
      <w:r w:rsidRPr="00DE5D69">
        <w:rPr>
          <w:rFonts w:asciiTheme="minorHAnsi" w:hAnsiTheme="minorHAnsi" w:cstheme="minorHAnsi"/>
        </w:rPr>
        <w:t>15</w:t>
      </w:r>
      <w:r w:rsidR="00F94EB3" w:rsidRPr="00DE5D69">
        <w:rPr>
          <w:rFonts w:asciiTheme="minorHAnsi" w:hAnsiTheme="minorHAnsi" w:cstheme="minorHAnsi"/>
        </w:rPr>
        <w:t>%</w:t>
      </w:r>
    </w:p>
    <w:p w14:paraId="30CC695E" w14:textId="051C857B" w:rsidR="00F94EB3" w:rsidRPr="00DE5D69" w:rsidRDefault="00E16335" w:rsidP="00F94EB3">
      <w:pPr>
        <w:pStyle w:val="NoSpacing"/>
        <w:rPr>
          <w:rFonts w:asciiTheme="minorHAnsi" w:hAnsiTheme="minorHAnsi" w:cstheme="minorHAnsi"/>
        </w:rPr>
      </w:pPr>
      <w:r w:rsidRPr="00DE5D69">
        <w:rPr>
          <w:rFonts w:asciiTheme="minorHAnsi" w:hAnsiTheme="minorHAnsi" w:cstheme="minorHAnsi"/>
        </w:rPr>
        <w:t>In-class quizzes</w:t>
      </w:r>
      <w:r w:rsidRPr="00DE5D69">
        <w:rPr>
          <w:rFonts w:asciiTheme="minorHAnsi" w:hAnsiTheme="minorHAnsi" w:cstheme="minorHAnsi"/>
        </w:rPr>
        <w:tab/>
      </w:r>
      <w:r w:rsidR="00F94EB3" w:rsidRPr="00DE5D69">
        <w:rPr>
          <w:rFonts w:asciiTheme="minorHAnsi" w:hAnsiTheme="minorHAnsi" w:cstheme="minorHAnsi"/>
        </w:rPr>
        <w:tab/>
      </w:r>
      <w:r w:rsidR="00880885">
        <w:rPr>
          <w:rFonts w:asciiTheme="minorHAnsi" w:hAnsiTheme="minorHAnsi" w:cstheme="minorHAnsi"/>
        </w:rPr>
        <w:tab/>
      </w:r>
      <w:r w:rsidR="005F0567">
        <w:rPr>
          <w:rFonts w:asciiTheme="minorHAnsi" w:hAnsiTheme="minorHAnsi" w:cstheme="minorHAnsi"/>
        </w:rPr>
        <w:tab/>
      </w:r>
      <w:r w:rsidR="00F94EB3" w:rsidRPr="00DE5D69">
        <w:rPr>
          <w:rFonts w:asciiTheme="minorHAnsi" w:hAnsiTheme="minorHAnsi" w:cstheme="minorHAnsi"/>
        </w:rPr>
        <w:t>10%</w:t>
      </w:r>
    </w:p>
    <w:p w14:paraId="0B6946DA" w14:textId="67F5696D" w:rsidR="00674F31" w:rsidRDefault="00674F31">
      <w:pPr>
        <w:rPr>
          <w:rFonts w:cstheme="minorHAnsi"/>
          <w:b/>
          <w:bCs/>
          <w:color w:val="C00000"/>
        </w:rPr>
      </w:pPr>
    </w:p>
    <w:p w14:paraId="2CF31A89" w14:textId="4A1E672F" w:rsidR="00F94EB3" w:rsidRPr="000F5893" w:rsidRDefault="00F94EB3" w:rsidP="000F5893">
      <w:pPr>
        <w:spacing w:before="120" w:after="0"/>
        <w:rPr>
          <w:rFonts w:cstheme="minorHAnsi"/>
          <w:b/>
          <w:bCs/>
          <w:color w:val="C00000"/>
        </w:rPr>
      </w:pPr>
      <w:r w:rsidRPr="000F5893">
        <w:rPr>
          <w:rFonts w:cstheme="minorHAnsi"/>
          <w:b/>
          <w:bCs/>
          <w:color w:val="C00000"/>
        </w:rPr>
        <w:t>Grading Scale</w:t>
      </w:r>
    </w:p>
    <w:p w14:paraId="054DB604" w14:textId="71C0ADA1" w:rsidR="00F94EB3" w:rsidRPr="00DE5D69" w:rsidRDefault="00F94EB3" w:rsidP="00F94EB3">
      <w:pPr>
        <w:pStyle w:val="NoSpacing"/>
        <w:rPr>
          <w:rFonts w:asciiTheme="minorHAnsi" w:hAnsiTheme="minorHAnsi" w:cstheme="minorHAnsi"/>
        </w:rPr>
      </w:pPr>
      <w:r w:rsidRPr="00DE5D69">
        <w:rPr>
          <w:rFonts w:asciiTheme="minorHAnsi" w:hAnsiTheme="minorHAnsi" w:cstheme="minorHAnsi"/>
        </w:rPr>
        <w:t xml:space="preserve">At least 93% </w:t>
      </w:r>
      <w:r w:rsidRPr="00DE5D69">
        <w:rPr>
          <w:rFonts w:asciiTheme="minorHAnsi" w:hAnsiTheme="minorHAnsi" w:cstheme="minorHAnsi"/>
        </w:rPr>
        <w:tab/>
      </w:r>
      <w:r w:rsidRPr="00DE5D69">
        <w:rPr>
          <w:rFonts w:asciiTheme="minorHAnsi" w:hAnsiTheme="minorHAnsi" w:cstheme="minorHAnsi"/>
        </w:rPr>
        <w:tab/>
      </w:r>
      <w:r w:rsidRPr="00DE5D69">
        <w:rPr>
          <w:rFonts w:asciiTheme="minorHAnsi" w:hAnsiTheme="minorHAnsi" w:cstheme="minorHAnsi"/>
        </w:rPr>
        <w:tab/>
      </w:r>
      <w:r w:rsidRPr="00DE5D69">
        <w:rPr>
          <w:rFonts w:asciiTheme="minorHAnsi" w:hAnsiTheme="minorHAnsi" w:cstheme="minorHAnsi"/>
        </w:rPr>
        <w:tab/>
        <w:t xml:space="preserve">A </w:t>
      </w:r>
    </w:p>
    <w:p w14:paraId="114C6C6E" w14:textId="77777777" w:rsidR="00F94EB3" w:rsidRPr="00DE5D69" w:rsidRDefault="00F94EB3" w:rsidP="00F94EB3">
      <w:pPr>
        <w:pStyle w:val="NoSpacing"/>
        <w:rPr>
          <w:rFonts w:asciiTheme="minorHAnsi" w:hAnsiTheme="minorHAnsi" w:cstheme="minorHAnsi"/>
        </w:rPr>
      </w:pPr>
      <w:r w:rsidRPr="00DE5D69">
        <w:rPr>
          <w:rFonts w:asciiTheme="minorHAnsi" w:hAnsiTheme="minorHAnsi" w:cstheme="minorHAnsi"/>
        </w:rPr>
        <w:t>At least 90% but less than 93%:</w:t>
      </w:r>
      <w:r w:rsidRPr="00DE5D69">
        <w:rPr>
          <w:rFonts w:asciiTheme="minorHAnsi" w:hAnsiTheme="minorHAnsi" w:cstheme="minorHAnsi"/>
        </w:rPr>
        <w:tab/>
      </w:r>
      <w:r w:rsidRPr="00DE5D69">
        <w:rPr>
          <w:rFonts w:asciiTheme="minorHAnsi" w:hAnsiTheme="minorHAnsi" w:cstheme="minorHAnsi"/>
        </w:rPr>
        <w:tab/>
        <w:t>A-</w:t>
      </w:r>
    </w:p>
    <w:p w14:paraId="3BE87B8C" w14:textId="77777777" w:rsidR="00F94EB3" w:rsidRPr="00DE5D69" w:rsidRDefault="00F94EB3" w:rsidP="00F94EB3">
      <w:pPr>
        <w:pStyle w:val="NoSpacing"/>
        <w:rPr>
          <w:rFonts w:asciiTheme="minorHAnsi" w:hAnsiTheme="minorHAnsi" w:cstheme="minorHAnsi"/>
        </w:rPr>
      </w:pPr>
      <w:r w:rsidRPr="00DE5D69">
        <w:rPr>
          <w:rFonts w:asciiTheme="minorHAnsi" w:hAnsiTheme="minorHAnsi" w:cstheme="minorHAnsi"/>
        </w:rPr>
        <w:t>At least 87% but less than 90%:</w:t>
      </w:r>
      <w:r w:rsidRPr="00DE5D69">
        <w:rPr>
          <w:rFonts w:asciiTheme="minorHAnsi" w:hAnsiTheme="minorHAnsi" w:cstheme="minorHAnsi"/>
        </w:rPr>
        <w:tab/>
      </w:r>
      <w:r w:rsidRPr="00DE5D69">
        <w:rPr>
          <w:rFonts w:asciiTheme="minorHAnsi" w:hAnsiTheme="minorHAnsi" w:cstheme="minorHAnsi"/>
        </w:rPr>
        <w:tab/>
        <w:t>B+</w:t>
      </w:r>
    </w:p>
    <w:p w14:paraId="60D87D8D" w14:textId="77777777" w:rsidR="00F94EB3" w:rsidRPr="00DE5D69" w:rsidRDefault="00F94EB3" w:rsidP="00F94EB3">
      <w:pPr>
        <w:pStyle w:val="NoSpacing"/>
        <w:rPr>
          <w:rFonts w:asciiTheme="minorHAnsi" w:hAnsiTheme="minorHAnsi" w:cstheme="minorHAnsi"/>
        </w:rPr>
      </w:pPr>
      <w:r w:rsidRPr="00DE5D69">
        <w:rPr>
          <w:rFonts w:asciiTheme="minorHAnsi" w:hAnsiTheme="minorHAnsi" w:cstheme="minorHAnsi"/>
        </w:rPr>
        <w:t>At least 83% but less than 87%</w:t>
      </w:r>
      <w:r w:rsidRPr="00DE5D69">
        <w:rPr>
          <w:rFonts w:asciiTheme="minorHAnsi" w:hAnsiTheme="minorHAnsi" w:cstheme="minorHAnsi"/>
        </w:rPr>
        <w:tab/>
      </w:r>
      <w:r w:rsidRPr="00DE5D69">
        <w:rPr>
          <w:rFonts w:asciiTheme="minorHAnsi" w:hAnsiTheme="minorHAnsi" w:cstheme="minorHAnsi"/>
        </w:rPr>
        <w:tab/>
        <w:t>B</w:t>
      </w:r>
    </w:p>
    <w:p w14:paraId="6C55864D" w14:textId="77777777" w:rsidR="00F94EB3" w:rsidRPr="00DE5D69" w:rsidRDefault="00F94EB3" w:rsidP="00F94EB3">
      <w:pPr>
        <w:pStyle w:val="NoSpacing"/>
        <w:rPr>
          <w:rFonts w:asciiTheme="minorHAnsi" w:hAnsiTheme="minorHAnsi" w:cstheme="minorHAnsi"/>
        </w:rPr>
      </w:pPr>
      <w:r w:rsidRPr="00DE5D69">
        <w:rPr>
          <w:rFonts w:asciiTheme="minorHAnsi" w:hAnsiTheme="minorHAnsi" w:cstheme="minorHAnsi"/>
        </w:rPr>
        <w:t>At least 80% but less than 83%:</w:t>
      </w:r>
      <w:r w:rsidRPr="00DE5D69">
        <w:rPr>
          <w:rFonts w:asciiTheme="minorHAnsi" w:hAnsiTheme="minorHAnsi" w:cstheme="minorHAnsi"/>
        </w:rPr>
        <w:tab/>
      </w:r>
      <w:r w:rsidRPr="00DE5D69">
        <w:rPr>
          <w:rFonts w:asciiTheme="minorHAnsi" w:hAnsiTheme="minorHAnsi" w:cstheme="minorHAnsi"/>
        </w:rPr>
        <w:tab/>
        <w:t>B-</w:t>
      </w:r>
    </w:p>
    <w:p w14:paraId="280E3062" w14:textId="77777777" w:rsidR="00F94EB3" w:rsidRPr="00DE5D69" w:rsidRDefault="00F94EB3" w:rsidP="00F94EB3">
      <w:pPr>
        <w:pStyle w:val="NoSpacing"/>
        <w:rPr>
          <w:rFonts w:asciiTheme="minorHAnsi" w:hAnsiTheme="minorHAnsi" w:cstheme="minorHAnsi"/>
        </w:rPr>
      </w:pPr>
      <w:r w:rsidRPr="00DE5D69">
        <w:rPr>
          <w:rFonts w:asciiTheme="minorHAnsi" w:hAnsiTheme="minorHAnsi" w:cstheme="minorHAnsi"/>
        </w:rPr>
        <w:t>At least 77% but less than 80%:</w:t>
      </w:r>
      <w:r w:rsidRPr="00DE5D69">
        <w:rPr>
          <w:rFonts w:asciiTheme="minorHAnsi" w:hAnsiTheme="minorHAnsi" w:cstheme="minorHAnsi"/>
        </w:rPr>
        <w:tab/>
      </w:r>
      <w:r w:rsidRPr="00DE5D69">
        <w:rPr>
          <w:rFonts w:asciiTheme="minorHAnsi" w:hAnsiTheme="minorHAnsi" w:cstheme="minorHAnsi"/>
        </w:rPr>
        <w:tab/>
        <w:t>C+</w:t>
      </w:r>
    </w:p>
    <w:p w14:paraId="4362F58B" w14:textId="77777777" w:rsidR="00F94EB3" w:rsidRPr="00DE5D69" w:rsidRDefault="00F94EB3" w:rsidP="00F94EB3">
      <w:pPr>
        <w:pStyle w:val="NoSpacing"/>
        <w:rPr>
          <w:rFonts w:asciiTheme="minorHAnsi" w:hAnsiTheme="minorHAnsi" w:cstheme="minorHAnsi"/>
        </w:rPr>
      </w:pPr>
      <w:r w:rsidRPr="00DE5D69">
        <w:rPr>
          <w:rFonts w:asciiTheme="minorHAnsi" w:hAnsiTheme="minorHAnsi" w:cstheme="minorHAnsi"/>
        </w:rPr>
        <w:t>At least 73% but less than 77%:</w:t>
      </w:r>
      <w:r w:rsidRPr="00DE5D69">
        <w:rPr>
          <w:rFonts w:asciiTheme="minorHAnsi" w:hAnsiTheme="minorHAnsi" w:cstheme="minorHAnsi"/>
        </w:rPr>
        <w:tab/>
      </w:r>
      <w:r w:rsidRPr="00DE5D69">
        <w:rPr>
          <w:rFonts w:asciiTheme="minorHAnsi" w:hAnsiTheme="minorHAnsi" w:cstheme="minorHAnsi"/>
        </w:rPr>
        <w:tab/>
        <w:t>C</w:t>
      </w:r>
    </w:p>
    <w:p w14:paraId="4672BC73" w14:textId="77777777" w:rsidR="00F94EB3" w:rsidRPr="00DE5D69" w:rsidRDefault="00F94EB3" w:rsidP="00F94EB3">
      <w:pPr>
        <w:pStyle w:val="NoSpacing"/>
        <w:rPr>
          <w:rFonts w:asciiTheme="minorHAnsi" w:hAnsiTheme="minorHAnsi" w:cstheme="minorHAnsi"/>
        </w:rPr>
      </w:pPr>
      <w:r w:rsidRPr="00DE5D69">
        <w:rPr>
          <w:rFonts w:asciiTheme="minorHAnsi" w:hAnsiTheme="minorHAnsi" w:cstheme="minorHAnsi"/>
        </w:rPr>
        <w:t>At least 70% but less than 73%:</w:t>
      </w:r>
      <w:r w:rsidRPr="00DE5D69">
        <w:rPr>
          <w:rFonts w:asciiTheme="minorHAnsi" w:hAnsiTheme="minorHAnsi" w:cstheme="minorHAnsi"/>
        </w:rPr>
        <w:tab/>
      </w:r>
      <w:r w:rsidRPr="00DE5D69">
        <w:rPr>
          <w:rFonts w:asciiTheme="minorHAnsi" w:hAnsiTheme="minorHAnsi" w:cstheme="minorHAnsi"/>
        </w:rPr>
        <w:tab/>
        <w:t>C-</w:t>
      </w:r>
    </w:p>
    <w:p w14:paraId="6DFDAEFC" w14:textId="77777777" w:rsidR="00C738A9" w:rsidRPr="00DE5D69" w:rsidRDefault="00C738A9" w:rsidP="00C738A9">
      <w:pPr>
        <w:pStyle w:val="NoSpacing"/>
        <w:rPr>
          <w:rFonts w:asciiTheme="minorHAnsi" w:hAnsiTheme="minorHAnsi" w:cstheme="minorHAnsi"/>
        </w:rPr>
      </w:pPr>
      <w:r w:rsidRPr="00DE5D69">
        <w:rPr>
          <w:rFonts w:asciiTheme="minorHAnsi" w:hAnsiTheme="minorHAnsi" w:cstheme="minorHAnsi"/>
        </w:rPr>
        <w:t>At least 67% but less than 70%:</w:t>
      </w:r>
      <w:r w:rsidRPr="00DE5D69">
        <w:rPr>
          <w:rFonts w:asciiTheme="minorHAnsi" w:hAnsiTheme="minorHAnsi" w:cstheme="minorHAnsi"/>
        </w:rPr>
        <w:tab/>
      </w:r>
      <w:r w:rsidRPr="00DE5D69">
        <w:rPr>
          <w:rFonts w:asciiTheme="minorHAnsi" w:hAnsiTheme="minorHAnsi" w:cstheme="minorHAnsi"/>
        </w:rPr>
        <w:tab/>
        <w:t>D+</w:t>
      </w:r>
    </w:p>
    <w:p w14:paraId="382EEEBC" w14:textId="77777777" w:rsidR="00C738A9" w:rsidRPr="00DE5D69" w:rsidRDefault="00C738A9" w:rsidP="00C738A9">
      <w:pPr>
        <w:pStyle w:val="NoSpacing"/>
        <w:rPr>
          <w:rFonts w:asciiTheme="minorHAnsi" w:hAnsiTheme="minorHAnsi" w:cstheme="minorHAnsi"/>
        </w:rPr>
      </w:pPr>
      <w:r w:rsidRPr="00DE5D69">
        <w:rPr>
          <w:rFonts w:asciiTheme="minorHAnsi" w:hAnsiTheme="minorHAnsi" w:cstheme="minorHAnsi"/>
        </w:rPr>
        <w:t>At least 60% but less than 67%:</w:t>
      </w:r>
      <w:r w:rsidRPr="00DE5D69">
        <w:rPr>
          <w:rFonts w:asciiTheme="minorHAnsi" w:hAnsiTheme="minorHAnsi" w:cstheme="minorHAnsi"/>
        </w:rPr>
        <w:tab/>
      </w:r>
      <w:r w:rsidRPr="00DE5D69">
        <w:rPr>
          <w:rFonts w:asciiTheme="minorHAnsi" w:hAnsiTheme="minorHAnsi" w:cstheme="minorHAnsi"/>
        </w:rPr>
        <w:tab/>
        <w:t>D</w:t>
      </w:r>
    </w:p>
    <w:p w14:paraId="784EB350" w14:textId="6AE414FC" w:rsidR="008978B1" w:rsidRPr="004636F7" w:rsidRDefault="00C738A9" w:rsidP="004636F7">
      <w:pPr>
        <w:pStyle w:val="NoSpacing"/>
        <w:rPr>
          <w:rFonts w:asciiTheme="minorHAnsi" w:hAnsiTheme="minorHAnsi" w:cstheme="minorHAnsi"/>
        </w:rPr>
      </w:pPr>
      <w:r w:rsidRPr="00DE5D69">
        <w:rPr>
          <w:rFonts w:asciiTheme="minorHAnsi" w:hAnsiTheme="minorHAnsi" w:cstheme="minorHAnsi"/>
        </w:rPr>
        <w:t>Less than 60%:</w:t>
      </w:r>
      <w:r w:rsidRPr="00DE5D69">
        <w:rPr>
          <w:rFonts w:asciiTheme="minorHAnsi" w:hAnsiTheme="minorHAnsi" w:cstheme="minorHAnsi"/>
        </w:rPr>
        <w:tab/>
      </w:r>
      <w:r w:rsidRPr="00DE5D69">
        <w:rPr>
          <w:rFonts w:asciiTheme="minorHAnsi" w:hAnsiTheme="minorHAnsi" w:cstheme="minorHAnsi"/>
        </w:rPr>
        <w:tab/>
      </w:r>
      <w:r w:rsidRPr="00DE5D69">
        <w:rPr>
          <w:rFonts w:asciiTheme="minorHAnsi" w:hAnsiTheme="minorHAnsi" w:cstheme="minorHAnsi"/>
        </w:rPr>
        <w:tab/>
      </w:r>
      <w:r w:rsidRPr="00DE5D69">
        <w:rPr>
          <w:rFonts w:asciiTheme="minorHAnsi" w:hAnsiTheme="minorHAnsi" w:cstheme="minorHAnsi"/>
        </w:rPr>
        <w:tab/>
        <w:t>F</w:t>
      </w:r>
    </w:p>
    <w:p w14:paraId="50953CDC" w14:textId="77777777" w:rsidR="00645973" w:rsidRPr="004636F7" w:rsidRDefault="007B642C" w:rsidP="004636F7">
      <w:pPr>
        <w:spacing w:before="120" w:after="0"/>
        <w:rPr>
          <w:rFonts w:cstheme="minorHAnsi"/>
          <w:b/>
          <w:bCs/>
          <w:color w:val="C00000"/>
        </w:rPr>
      </w:pPr>
      <w:r w:rsidRPr="004636F7">
        <w:rPr>
          <w:rFonts w:cstheme="minorHAnsi"/>
          <w:b/>
          <w:bCs/>
          <w:color w:val="C00000"/>
        </w:rPr>
        <w:t>Late work or tardy submissions</w:t>
      </w:r>
    </w:p>
    <w:p w14:paraId="20F41777" w14:textId="00D2A420" w:rsidR="007B642C" w:rsidRPr="00DE5D69" w:rsidRDefault="007B642C" w:rsidP="004636F7">
      <w:pPr>
        <w:autoSpaceDE w:val="0"/>
        <w:autoSpaceDN w:val="0"/>
        <w:adjustRightInd w:val="0"/>
        <w:spacing w:after="0" w:line="240" w:lineRule="auto"/>
        <w:rPr>
          <w:rFonts w:cstheme="minorHAnsi"/>
        </w:rPr>
      </w:pPr>
      <w:r w:rsidRPr="00DE5D69">
        <w:rPr>
          <w:rFonts w:cstheme="minorHAnsi"/>
          <w:color w:val="000000"/>
        </w:rPr>
        <w:t xml:space="preserve">See the </w:t>
      </w:r>
      <w:r w:rsidR="00387A1D" w:rsidRPr="00A16B9C">
        <w:rPr>
          <w:rFonts w:cstheme="minorHAnsi"/>
          <w:color w:val="000000"/>
        </w:rPr>
        <w:t xml:space="preserve">Econ 590 </w:t>
      </w:r>
      <w:r w:rsidRPr="00A16B9C">
        <w:rPr>
          <w:rFonts w:cstheme="minorHAnsi"/>
          <w:color w:val="000000"/>
        </w:rPr>
        <w:t>Schedule</w:t>
      </w:r>
      <w:r w:rsidRPr="00DE5D69">
        <w:rPr>
          <w:rFonts w:cstheme="minorHAnsi"/>
          <w:b/>
          <w:bCs/>
          <w:color w:val="000000"/>
        </w:rPr>
        <w:t xml:space="preserve"> </w:t>
      </w:r>
      <w:r w:rsidRPr="00DE5D69">
        <w:rPr>
          <w:rFonts w:cstheme="minorHAnsi"/>
          <w:color w:val="000000"/>
        </w:rPr>
        <w:t>on Sakai for</w:t>
      </w:r>
      <w:r w:rsidR="00A16B9C">
        <w:rPr>
          <w:rFonts w:cstheme="minorHAnsi"/>
          <w:color w:val="000000"/>
        </w:rPr>
        <w:t xml:space="preserve"> </w:t>
      </w:r>
      <w:r w:rsidRPr="00DE5D69">
        <w:rPr>
          <w:rFonts w:cstheme="minorHAnsi"/>
          <w:color w:val="000000"/>
        </w:rPr>
        <w:t xml:space="preserve">project details and deadlines. If your </w:t>
      </w:r>
      <w:r w:rsidR="00A16B9C">
        <w:rPr>
          <w:rFonts w:cstheme="minorHAnsi"/>
          <w:color w:val="000000"/>
        </w:rPr>
        <w:t>paper is late</w:t>
      </w:r>
      <w:r w:rsidRPr="00DE5D69">
        <w:rPr>
          <w:rFonts w:cstheme="minorHAnsi"/>
          <w:color w:val="000000"/>
        </w:rPr>
        <w:t>, your grade on that</w:t>
      </w:r>
      <w:r w:rsidR="00A16B9C">
        <w:rPr>
          <w:rFonts w:cstheme="minorHAnsi"/>
          <w:color w:val="000000"/>
        </w:rPr>
        <w:t xml:space="preserve"> </w:t>
      </w:r>
      <w:r w:rsidRPr="00DE5D69">
        <w:rPr>
          <w:rFonts w:cstheme="minorHAnsi"/>
          <w:color w:val="000000"/>
        </w:rPr>
        <w:t>assignment will drop 20 points, which is the equivalent of one letter grade, (for</w:t>
      </w:r>
      <w:r w:rsidR="004636F7">
        <w:rPr>
          <w:rFonts w:cstheme="minorHAnsi"/>
          <w:color w:val="000000"/>
        </w:rPr>
        <w:t xml:space="preserve"> </w:t>
      </w:r>
      <w:r w:rsidRPr="00DE5D69">
        <w:rPr>
          <w:rFonts w:cstheme="minorHAnsi"/>
          <w:color w:val="000000"/>
        </w:rPr>
        <w:t>example, from an A to a B). All class projects and activities including</w:t>
      </w:r>
      <w:r w:rsidR="004636F7">
        <w:rPr>
          <w:rFonts w:cstheme="minorHAnsi"/>
          <w:color w:val="000000"/>
        </w:rPr>
        <w:t xml:space="preserve"> </w:t>
      </w:r>
      <w:r w:rsidRPr="00DE5D69">
        <w:rPr>
          <w:rFonts w:cstheme="minorHAnsi"/>
          <w:color w:val="000000"/>
        </w:rPr>
        <w:t>participation activities are due at the deadline. Late submissions will be penalized</w:t>
      </w:r>
      <w:r w:rsidR="004636F7">
        <w:rPr>
          <w:rFonts w:cstheme="minorHAnsi"/>
          <w:color w:val="000000"/>
        </w:rPr>
        <w:t xml:space="preserve"> </w:t>
      </w:r>
      <w:r w:rsidRPr="00DE5D69">
        <w:rPr>
          <w:rFonts w:cstheme="minorHAnsi"/>
          <w:color w:val="000000"/>
        </w:rPr>
        <w:t>for each day they are late. If it’s not ready at deadline time, it’s already considered</w:t>
      </w:r>
      <w:r w:rsidR="004636F7">
        <w:rPr>
          <w:rFonts w:cstheme="minorHAnsi"/>
          <w:color w:val="000000"/>
        </w:rPr>
        <w:t xml:space="preserve"> </w:t>
      </w:r>
      <w:r w:rsidRPr="00DE5D69">
        <w:rPr>
          <w:rFonts w:cstheme="minorHAnsi"/>
          <w:color w:val="000000"/>
        </w:rPr>
        <w:t>a day late. Failure to meet some deadlines may earn a zero grade.</w:t>
      </w:r>
      <w:r w:rsidR="0061191E">
        <w:rPr>
          <w:rFonts w:cstheme="minorHAnsi"/>
          <w:color w:val="000000"/>
        </w:rPr>
        <w:t xml:space="preserve"> </w:t>
      </w:r>
    </w:p>
    <w:p w14:paraId="0525608B" w14:textId="1EEFA961" w:rsidR="000310F9" w:rsidRPr="008978B1" w:rsidRDefault="000310F9" w:rsidP="00645973">
      <w:pPr>
        <w:pStyle w:val="BodyText"/>
        <w:shd w:val="clear" w:color="auto" w:fill="FFFFFF" w:themeFill="background1"/>
        <w:spacing w:before="120"/>
        <w:rPr>
          <w:rFonts w:asciiTheme="minorHAnsi" w:hAnsiTheme="minorHAnsi" w:cstheme="minorHAnsi"/>
          <w:b/>
          <w:bCs/>
          <w:color w:val="C00000"/>
          <w:sz w:val="22"/>
          <w:szCs w:val="22"/>
        </w:rPr>
      </w:pPr>
      <w:r w:rsidRPr="008978B1">
        <w:rPr>
          <w:rFonts w:asciiTheme="minorHAnsi" w:hAnsiTheme="minorHAnsi" w:cstheme="minorHAnsi"/>
          <w:b/>
          <w:bCs/>
          <w:color w:val="C00000"/>
          <w:sz w:val="22"/>
          <w:szCs w:val="22"/>
        </w:rPr>
        <w:t xml:space="preserve">Grade </w:t>
      </w:r>
      <w:r w:rsidR="002866B7">
        <w:rPr>
          <w:rFonts w:cstheme="minorHAnsi"/>
          <w:b/>
          <w:bCs/>
          <w:color w:val="C00000"/>
        </w:rPr>
        <w:t>a</w:t>
      </w:r>
      <w:r w:rsidRPr="008978B1">
        <w:rPr>
          <w:rFonts w:asciiTheme="minorHAnsi" w:hAnsiTheme="minorHAnsi" w:cstheme="minorHAnsi"/>
          <w:b/>
          <w:bCs/>
          <w:color w:val="C00000"/>
          <w:sz w:val="22"/>
          <w:szCs w:val="22"/>
        </w:rPr>
        <w:t>ppeal</w:t>
      </w:r>
    </w:p>
    <w:p w14:paraId="32EBA9A9" w14:textId="65F4F300" w:rsidR="000310F9" w:rsidRPr="00DE5D69" w:rsidRDefault="000310F9" w:rsidP="00645973">
      <w:pPr>
        <w:autoSpaceDE w:val="0"/>
        <w:autoSpaceDN w:val="0"/>
        <w:adjustRightInd w:val="0"/>
        <w:spacing w:after="120" w:line="240" w:lineRule="auto"/>
        <w:rPr>
          <w:rFonts w:cstheme="minorHAnsi"/>
        </w:rPr>
      </w:pPr>
      <w:r w:rsidRPr="00DE5D69">
        <w:rPr>
          <w:rFonts w:cstheme="minorHAnsi"/>
        </w:rPr>
        <w:t xml:space="preserve">Although grades are not negotiable, </w:t>
      </w:r>
      <w:r w:rsidR="00DD106A">
        <w:rPr>
          <w:rFonts w:cstheme="minorHAnsi"/>
        </w:rPr>
        <w:t xml:space="preserve">I </w:t>
      </w:r>
      <w:r w:rsidR="007B4AED">
        <w:rPr>
          <w:rFonts w:cstheme="minorHAnsi"/>
        </w:rPr>
        <w:t xml:space="preserve">will </w:t>
      </w:r>
      <w:r w:rsidRPr="00DE5D69">
        <w:rPr>
          <w:rFonts w:cstheme="minorHAnsi"/>
        </w:rPr>
        <w:t xml:space="preserve">carefully consider </w:t>
      </w:r>
      <w:r w:rsidR="007B4AED">
        <w:rPr>
          <w:rFonts w:cstheme="minorHAnsi"/>
        </w:rPr>
        <w:t xml:space="preserve">a concern </w:t>
      </w:r>
      <w:r w:rsidRPr="00DE5D69">
        <w:rPr>
          <w:rFonts w:cstheme="minorHAnsi"/>
        </w:rPr>
        <w:t>about</w:t>
      </w:r>
      <w:r w:rsidR="00D97859">
        <w:rPr>
          <w:rFonts w:cstheme="minorHAnsi"/>
        </w:rPr>
        <w:t xml:space="preserve"> </w:t>
      </w:r>
      <w:r w:rsidRPr="00DE5D69">
        <w:rPr>
          <w:rFonts w:cstheme="minorHAnsi"/>
        </w:rPr>
        <w:t>an assignment grade</w:t>
      </w:r>
      <w:r w:rsidR="00DD106A">
        <w:rPr>
          <w:rFonts w:cstheme="minorHAnsi"/>
        </w:rPr>
        <w:t xml:space="preserve"> if </w:t>
      </w:r>
      <w:r w:rsidRPr="00DE5D69">
        <w:rPr>
          <w:rFonts w:cstheme="minorHAnsi"/>
        </w:rPr>
        <w:t xml:space="preserve">the concern is </w:t>
      </w:r>
      <w:r w:rsidRPr="00C00741">
        <w:rPr>
          <w:rFonts w:cstheme="minorHAnsi"/>
        </w:rPr>
        <w:t>promptly</w:t>
      </w:r>
      <w:r w:rsidRPr="00DE5D69">
        <w:rPr>
          <w:rFonts w:cstheme="minorHAnsi"/>
          <w:i/>
          <w:iCs/>
        </w:rPr>
        <w:t xml:space="preserve"> </w:t>
      </w:r>
      <w:r w:rsidRPr="00DE5D69">
        <w:rPr>
          <w:rFonts w:cstheme="minorHAnsi"/>
        </w:rPr>
        <w:t>identified. If you have</w:t>
      </w:r>
      <w:r w:rsidR="00D97859">
        <w:rPr>
          <w:rFonts w:cstheme="minorHAnsi"/>
        </w:rPr>
        <w:t xml:space="preserve"> </w:t>
      </w:r>
      <w:r w:rsidRPr="00DE5D69">
        <w:rPr>
          <w:rFonts w:cstheme="minorHAnsi"/>
        </w:rPr>
        <w:t xml:space="preserve">questions or dispute a particular grade, please bring it to </w:t>
      </w:r>
      <w:r w:rsidR="00C00741">
        <w:rPr>
          <w:rFonts w:cstheme="minorHAnsi"/>
        </w:rPr>
        <w:t xml:space="preserve">my </w:t>
      </w:r>
      <w:r w:rsidRPr="00DE5D69">
        <w:rPr>
          <w:rFonts w:cstheme="minorHAnsi"/>
        </w:rPr>
        <w:t xml:space="preserve">attention </w:t>
      </w:r>
      <w:r w:rsidRPr="00D97859">
        <w:rPr>
          <w:rFonts w:cstheme="minorHAnsi"/>
          <w:b/>
          <w:bCs/>
          <w:color w:val="C00000"/>
        </w:rPr>
        <w:t>within a</w:t>
      </w:r>
      <w:r w:rsidR="00D97859" w:rsidRPr="00D97859">
        <w:rPr>
          <w:rFonts w:cstheme="minorHAnsi"/>
          <w:b/>
          <w:bCs/>
          <w:color w:val="C00000"/>
        </w:rPr>
        <w:t xml:space="preserve"> </w:t>
      </w:r>
      <w:r w:rsidRPr="00D97859">
        <w:rPr>
          <w:rFonts w:cstheme="minorHAnsi"/>
          <w:b/>
          <w:bCs/>
          <w:color w:val="C00000"/>
        </w:rPr>
        <w:t>week of receiving that grade</w:t>
      </w:r>
      <w:r w:rsidRPr="00DE5D69">
        <w:rPr>
          <w:rFonts w:cstheme="minorHAnsi"/>
        </w:rPr>
        <w:t xml:space="preserve">. The only grades that </w:t>
      </w:r>
      <w:r w:rsidR="00C00741">
        <w:rPr>
          <w:rFonts w:cstheme="minorHAnsi"/>
        </w:rPr>
        <w:t xml:space="preserve">I </w:t>
      </w:r>
      <w:r w:rsidRPr="00DE5D69">
        <w:rPr>
          <w:rFonts w:cstheme="minorHAnsi"/>
        </w:rPr>
        <w:t>will discuss at</w:t>
      </w:r>
      <w:r w:rsidR="00D97859">
        <w:rPr>
          <w:rFonts w:cstheme="minorHAnsi"/>
        </w:rPr>
        <w:t xml:space="preserve"> </w:t>
      </w:r>
      <w:r w:rsidRPr="00DE5D69">
        <w:rPr>
          <w:rFonts w:cstheme="minorHAnsi"/>
        </w:rPr>
        <w:t>the end of the semester are those assignments you complete at the end of the</w:t>
      </w:r>
      <w:r w:rsidR="00D97859">
        <w:rPr>
          <w:rFonts w:cstheme="minorHAnsi"/>
        </w:rPr>
        <w:t xml:space="preserve"> </w:t>
      </w:r>
      <w:r w:rsidRPr="00DE5D69">
        <w:rPr>
          <w:rFonts w:cstheme="minorHAnsi"/>
        </w:rPr>
        <w:t>semester.</w:t>
      </w:r>
    </w:p>
    <w:p w14:paraId="09028D52" w14:textId="77777777" w:rsidR="00830465" w:rsidRDefault="000310F9" w:rsidP="00D97859">
      <w:pPr>
        <w:autoSpaceDE w:val="0"/>
        <w:autoSpaceDN w:val="0"/>
        <w:adjustRightInd w:val="0"/>
        <w:spacing w:before="120" w:after="0" w:line="240" w:lineRule="auto"/>
        <w:rPr>
          <w:rFonts w:cstheme="minorHAnsi"/>
        </w:rPr>
      </w:pPr>
      <w:r w:rsidRPr="00DE5D69">
        <w:rPr>
          <w:rFonts w:cstheme="minorHAnsi"/>
        </w:rPr>
        <w:t>You have the right to appeal any grade in this course. You are free to talk</w:t>
      </w:r>
      <w:r w:rsidR="00D97859">
        <w:rPr>
          <w:rFonts w:cstheme="minorHAnsi"/>
        </w:rPr>
        <w:t xml:space="preserve"> </w:t>
      </w:r>
      <w:r w:rsidRPr="00DE5D69">
        <w:rPr>
          <w:rFonts w:cstheme="minorHAnsi"/>
        </w:rPr>
        <w:t xml:space="preserve">with me about a grade in this course and discuss </w:t>
      </w:r>
      <w:r w:rsidR="00830465">
        <w:rPr>
          <w:rFonts w:cstheme="minorHAnsi"/>
        </w:rPr>
        <w:t xml:space="preserve">the </w:t>
      </w:r>
      <w:r w:rsidRPr="00DE5D69">
        <w:rPr>
          <w:rFonts w:cstheme="minorHAnsi"/>
        </w:rPr>
        <w:t>determination of that grade.</w:t>
      </w:r>
      <w:r w:rsidR="00D97859">
        <w:rPr>
          <w:rFonts w:cstheme="minorHAnsi"/>
        </w:rPr>
        <w:t xml:space="preserve"> </w:t>
      </w:r>
      <w:r w:rsidRPr="00DE5D69">
        <w:rPr>
          <w:rFonts w:cstheme="minorHAnsi"/>
        </w:rPr>
        <w:t>If you are not satisfied, you may submit your appeal in writing along with the</w:t>
      </w:r>
      <w:r w:rsidR="00D97859">
        <w:rPr>
          <w:rFonts w:cstheme="minorHAnsi"/>
        </w:rPr>
        <w:t xml:space="preserve"> </w:t>
      </w:r>
      <w:r w:rsidRPr="00DE5D69">
        <w:rPr>
          <w:rFonts w:cstheme="minorHAnsi"/>
        </w:rPr>
        <w:t>assignment or project in question. I will respond to your appeal. If you are not</w:t>
      </w:r>
      <w:r w:rsidR="00830465">
        <w:rPr>
          <w:rFonts w:cstheme="minorHAnsi"/>
        </w:rPr>
        <w:t xml:space="preserve"> </w:t>
      </w:r>
      <w:r w:rsidRPr="00DE5D69">
        <w:rPr>
          <w:rFonts w:cstheme="minorHAnsi"/>
        </w:rPr>
        <w:t>satisfied, you may appeal to your academic dean.</w:t>
      </w:r>
      <w:r w:rsidR="00830465">
        <w:rPr>
          <w:rFonts w:cstheme="minorHAnsi"/>
        </w:rPr>
        <w:t xml:space="preserve"> </w:t>
      </w:r>
      <w:r w:rsidRPr="00DE5D69">
        <w:rPr>
          <w:rFonts w:cstheme="minorHAnsi"/>
        </w:rPr>
        <w:t>The academic dean will consider the merits of the grade appeal. After careful</w:t>
      </w:r>
      <w:r w:rsidR="00830465">
        <w:rPr>
          <w:rFonts w:cstheme="minorHAnsi"/>
        </w:rPr>
        <w:t xml:space="preserve"> </w:t>
      </w:r>
      <w:r w:rsidRPr="00DE5D69">
        <w:rPr>
          <w:rFonts w:cstheme="minorHAnsi"/>
        </w:rPr>
        <w:t>consideration, the dean may reject or accept your grade appeal. The dean may</w:t>
      </w:r>
      <w:r w:rsidR="00830465">
        <w:rPr>
          <w:rFonts w:cstheme="minorHAnsi"/>
        </w:rPr>
        <w:t xml:space="preserve"> </w:t>
      </w:r>
      <w:r w:rsidRPr="00DE5D69">
        <w:rPr>
          <w:rFonts w:cstheme="minorHAnsi"/>
        </w:rPr>
        <w:t>also appoint a grade-appeal committee to consider your complaint. That</w:t>
      </w:r>
      <w:r w:rsidR="00830465">
        <w:rPr>
          <w:rFonts w:cstheme="minorHAnsi"/>
        </w:rPr>
        <w:t xml:space="preserve"> </w:t>
      </w:r>
      <w:r w:rsidRPr="00DE5D69">
        <w:rPr>
          <w:rFonts w:cstheme="minorHAnsi"/>
        </w:rPr>
        <w:t>committee would then recommend action to the dean who appointed the</w:t>
      </w:r>
      <w:r w:rsidR="00830465">
        <w:rPr>
          <w:rFonts w:cstheme="minorHAnsi"/>
        </w:rPr>
        <w:t xml:space="preserve"> </w:t>
      </w:r>
      <w:r w:rsidRPr="00DE5D69">
        <w:rPr>
          <w:rFonts w:cstheme="minorHAnsi"/>
        </w:rPr>
        <w:t>committee.</w:t>
      </w:r>
    </w:p>
    <w:p w14:paraId="0B5FD2B5" w14:textId="0E6148CA" w:rsidR="00492994" w:rsidRDefault="000310F9" w:rsidP="00830465">
      <w:pPr>
        <w:pBdr>
          <w:bottom w:val="single" w:sz="12" w:space="1" w:color="auto"/>
        </w:pBdr>
        <w:autoSpaceDE w:val="0"/>
        <w:autoSpaceDN w:val="0"/>
        <w:adjustRightInd w:val="0"/>
        <w:spacing w:before="120" w:after="0" w:line="240" w:lineRule="auto"/>
        <w:rPr>
          <w:rFonts w:cstheme="minorHAnsi"/>
        </w:rPr>
      </w:pPr>
      <w:r w:rsidRPr="00DE5D69">
        <w:rPr>
          <w:rFonts w:cstheme="minorHAnsi"/>
        </w:rPr>
        <w:t>Once reported, permanent course grades may not be changed except for</w:t>
      </w:r>
      <w:r w:rsidR="00830465">
        <w:rPr>
          <w:rFonts w:cstheme="minorHAnsi"/>
        </w:rPr>
        <w:t xml:space="preserve"> </w:t>
      </w:r>
      <w:r w:rsidRPr="00DE5D69">
        <w:rPr>
          <w:rFonts w:cstheme="minorHAnsi"/>
        </w:rPr>
        <w:t>clerical or arithmetical error or by a successful grade appeal, as outlined above. A</w:t>
      </w:r>
      <w:r w:rsidR="00830465">
        <w:rPr>
          <w:rFonts w:cstheme="minorHAnsi"/>
        </w:rPr>
        <w:t xml:space="preserve"> </w:t>
      </w:r>
      <w:r w:rsidRPr="00DE5D69">
        <w:rPr>
          <w:rFonts w:cstheme="minorHAnsi"/>
        </w:rPr>
        <w:t>formal grade appeal, if any, must be filed no later than the last day for late</w:t>
      </w:r>
      <w:r w:rsidR="00830465">
        <w:rPr>
          <w:rFonts w:cstheme="minorHAnsi"/>
        </w:rPr>
        <w:t xml:space="preserve"> </w:t>
      </w:r>
      <w:r w:rsidRPr="00DE5D69">
        <w:rPr>
          <w:rFonts w:cstheme="minorHAnsi"/>
        </w:rPr>
        <w:t>registration of the next semester.</w:t>
      </w:r>
    </w:p>
    <w:p w14:paraId="45321685" w14:textId="77777777" w:rsidR="004636F7" w:rsidRDefault="004636F7" w:rsidP="00830465">
      <w:pPr>
        <w:pBdr>
          <w:bottom w:val="single" w:sz="12" w:space="1" w:color="auto"/>
        </w:pBdr>
        <w:autoSpaceDE w:val="0"/>
        <w:autoSpaceDN w:val="0"/>
        <w:adjustRightInd w:val="0"/>
        <w:spacing w:before="120" w:after="0" w:line="240" w:lineRule="auto"/>
        <w:rPr>
          <w:rFonts w:cstheme="minorHAnsi"/>
        </w:rPr>
      </w:pPr>
    </w:p>
    <w:p w14:paraId="1DD200D5" w14:textId="77777777" w:rsidR="00674F31" w:rsidRDefault="00674F31">
      <w:pPr>
        <w:rPr>
          <w:rFonts w:cstheme="minorHAnsi"/>
          <w:b/>
          <w:bCs/>
          <w:color w:val="0070C0"/>
          <w:w w:val="105"/>
          <w:sz w:val="28"/>
          <w:szCs w:val="28"/>
        </w:rPr>
      </w:pPr>
      <w:r>
        <w:rPr>
          <w:rFonts w:cstheme="minorHAnsi"/>
          <w:b/>
          <w:bCs/>
          <w:color w:val="0070C0"/>
          <w:w w:val="105"/>
          <w:sz w:val="28"/>
          <w:szCs w:val="28"/>
        </w:rPr>
        <w:br w:type="page"/>
      </w:r>
    </w:p>
    <w:p w14:paraId="5EC818D4" w14:textId="60CFC554" w:rsidR="000310F9" w:rsidRPr="002866B7" w:rsidRDefault="00F21F84" w:rsidP="00830465">
      <w:pPr>
        <w:spacing w:before="120"/>
        <w:rPr>
          <w:rFonts w:cstheme="minorHAnsi"/>
          <w:b/>
          <w:bCs/>
          <w:color w:val="0070C0"/>
          <w:sz w:val="28"/>
          <w:szCs w:val="28"/>
        </w:rPr>
      </w:pPr>
      <w:r w:rsidRPr="002866B7">
        <w:rPr>
          <w:rFonts w:cstheme="minorHAnsi"/>
          <w:b/>
          <w:bCs/>
          <w:color w:val="0070C0"/>
          <w:w w:val="105"/>
          <w:sz w:val="28"/>
          <w:szCs w:val="28"/>
        </w:rPr>
        <w:lastRenderedPageBreak/>
        <w:t>Policies and resources</w:t>
      </w:r>
    </w:p>
    <w:p w14:paraId="7B04DC37" w14:textId="77777777" w:rsidR="002866B7" w:rsidRPr="0047651E" w:rsidRDefault="002866B7" w:rsidP="0009104C">
      <w:pPr>
        <w:pStyle w:val="BodyText"/>
        <w:shd w:val="clear" w:color="auto" w:fill="FFFFFF" w:themeFill="background1"/>
        <w:spacing w:before="120"/>
        <w:rPr>
          <w:rFonts w:asciiTheme="minorHAnsi" w:hAnsiTheme="minorHAnsi" w:cstheme="minorHAnsi"/>
          <w:b/>
          <w:bCs/>
          <w:color w:val="C00000"/>
          <w:sz w:val="22"/>
          <w:szCs w:val="22"/>
        </w:rPr>
      </w:pPr>
      <w:r w:rsidRPr="0047651E">
        <w:rPr>
          <w:rFonts w:asciiTheme="minorHAnsi" w:hAnsiTheme="minorHAnsi" w:cstheme="minorHAnsi"/>
          <w:b/>
          <w:bCs/>
          <w:color w:val="C00000"/>
          <w:sz w:val="22"/>
          <w:szCs w:val="22"/>
        </w:rPr>
        <w:t>Expectations of students</w:t>
      </w:r>
    </w:p>
    <w:p w14:paraId="048120D2" w14:textId="33B19093" w:rsidR="002866B7" w:rsidRPr="00CA336E" w:rsidRDefault="002866B7" w:rsidP="00CA336E">
      <w:pPr>
        <w:pStyle w:val="ListParagraph"/>
        <w:numPr>
          <w:ilvl w:val="0"/>
          <w:numId w:val="5"/>
        </w:numPr>
        <w:autoSpaceDE w:val="0"/>
        <w:autoSpaceDN w:val="0"/>
        <w:adjustRightInd w:val="0"/>
        <w:spacing w:after="0" w:line="240" w:lineRule="auto"/>
        <w:rPr>
          <w:rFonts w:cstheme="minorHAnsi"/>
        </w:rPr>
      </w:pPr>
      <w:r w:rsidRPr="00CA336E">
        <w:rPr>
          <w:rFonts w:cstheme="minorHAnsi"/>
        </w:rPr>
        <w:t>Engage in class and with the materials. Students will participate in regular discussions</w:t>
      </w:r>
      <w:r w:rsidR="00A37D88" w:rsidRPr="00CA336E">
        <w:rPr>
          <w:rFonts w:cstheme="minorHAnsi"/>
        </w:rPr>
        <w:t xml:space="preserve"> during class</w:t>
      </w:r>
      <w:r w:rsidRPr="00CA336E">
        <w:rPr>
          <w:rFonts w:cstheme="minorHAnsi"/>
        </w:rPr>
        <w:t xml:space="preserve">. </w:t>
      </w:r>
    </w:p>
    <w:p w14:paraId="705CDE1E" w14:textId="66A21AB0" w:rsidR="00D41F2C" w:rsidRPr="00CA336E" w:rsidRDefault="00D41F2C" w:rsidP="00CA336E">
      <w:pPr>
        <w:pStyle w:val="ListParagraph"/>
        <w:numPr>
          <w:ilvl w:val="0"/>
          <w:numId w:val="5"/>
        </w:numPr>
        <w:autoSpaceDE w:val="0"/>
        <w:autoSpaceDN w:val="0"/>
        <w:adjustRightInd w:val="0"/>
        <w:spacing w:after="0" w:line="240" w:lineRule="auto"/>
        <w:rPr>
          <w:rFonts w:cstheme="minorHAnsi"/>
        </w:rPr>
      </w:pPr>
      <w:r w:rsidRPr="00CA336E">
        <w:rPr>
          <w:rFonts w:cstheme="minorHAnsi"/>
        </w:rPr>
        <w:t xml:space="preserve">You are expected to read the class materials ahead of time so that we can discuss the materials in class. </w:t>
      </w:r>
      <w:r w:rsidR="00184E4B" w:rsidRPr="00CA336E">
        <w:rPr>
          <w:rFonts w:cstheme="minorHAnsi"/>
        </w:rPr>
        <w:t>Exceptions to this expectation – such as the first day of class – will be noted.</w:t>
      </w:r>
    </w:p>
    <w:p w14:paraId="73E6CD91" w14:textId="418D4F30" w:rsidR="00184E4B" w:rsidRPr="00CA336E" w:rsidRDefault="00DA3482" w:rsidP="00CA336E">
      <w:pPr>
        <w:pStyle w:val="ListParagraph"/>
        <w:numPr>
          <w:ilvl w:val="0"/>
          <w:numId w:val="5"/>
        </w:numPr>
        <w:autoSpaceDE w:val="0"/>
        <w:autoSpaceDN w:val="0"/>
        <w:adjustRightInd w:val="0"/>
        <w:spacing w:after="0" w:line="240" w:lineRule="auto"/>
        <w:rPr>
          <w:rFonts w:cstheme="minorHAnsi"/>
        </w:rPr>
      </w:pPr>
      <w:r w:rsidRPr="00CA336E">
        <w:rPr>
          <w:rFonts w:cstheme="minorHAnsi"/>
        </w:rPr>
        <w:t xml:space="preserve">Use the library resources to obtain the readings. Most readings are in academic journals, and these are available through the UNC </w:t>
      </w:r>
      <w:r w:rsidR="003D4B0B" w:rsidRPr="00CA336E">
        <w:rPr>
          <w:rFonts w:cstheme="minorHAnsi"/>
        </w:rPr>
        <w:t>library. Although I will link readings when possible through the Sakai platform, it is your responsibility to obtain the reading</w:t>
      </w:r>
      <w:r w:rsidR="00CA336E" w:rsidRPr="00CA336E">
        <w:rPr>
          <w:rFonts w:cstheme="minorHAnsi"/>
        </w:rPr>
        <w:t xml:space="preserve">s. </w:t>
      </w:r>
    </w:p>
    <w:p w14:paraId="3192DE6C" w14:textId="77777777" w:rsidR="00CA336E" w:rsidRPr="00CA336E" w:rsidRDefault="002866B7" w:rsidP="00CA336E">
      <w:pPr>
        <w:pStyle w:val="ListParagraph"/>
        <w:numPr>
          <w:ilvl w:val="0"/>
          <w:numId w:val="5"/>
        </w:numPr>
        <w:rPr>
          <w:rFonts w:cstheme="minorHAnsi"/>
        </w:rPr>
      </w:pPr>
      <w:r w:rsidRPr="00CA336E">
        <w:rPr>
          <w:rFonts w:cstheme="minorHAnsi"/>
        </w:rPr>
        <w:t>Contribute to a group project. The group will be small (four to six students). Your grade from the project will depend both on the overall product from the group as well as your own individual contribution. the product will likely be a combination of a presentation and a briefing document of no more than 10 pages.</w:t>
      </w:r>
    </w:p>
    <w:p w14:paraId="47186A2F" w14:textId="68F8F318" w:rsidR="002866B7" w:rsidRPr="00CA336E" w:rsidRDefault="002866B7" w:rsidP="00CA336E">
      <w:pPr>
        <w:pStyle w:val="ListParagraph"/>
        <w:numPr>
          <w:ilvl w:val="0"/>
          <w:numId w:val="5"/>
        </w:numPr>
        <w:rPr>
          <w:rFonts w:cstheme="minorHAnsi"/>
        </w:rPr>
      </w:pPr>
      <w:r w:rsidRPr="00CA336E">
        <w:rPr>
          <w:rFonts w:cstheme="minorHAnsi"/>
        </w:rPr>
        <w:t>Please show good phone and device courtesy. Be present with what is going on in the class. Refrain from making calls or messaging. Feel free to discretely type your notes and research topics live.</w:t>
      </w:r>
    </w:p>
    <w:p w14:paraId="0D82D1DB" w14:textId="3A68EE07" w:rsidR="008978B1" w:rsidRDefault="00917248" w:rsidP="0009104C">
      <w:pPr>
        <w:pStyle w:val="BodyText"/>
        <w:shd w:val="clear" w:color="auto" w:fill="FFFFFF" w:themeFill="background1"/>
        <w:spacing w:before="120"/>
        <w:rPr>
          <w:rFonts w:cstheme="minorHAnsi"/>
          <w:b/>
          <w:bCs/>
          <w:color w:val="030303"/>
          <w:w w:val="105"/>
        </w:rPr>
      </w:pPr>
      <w:r w:rsidRPr="002866B7">
        <w:rPr>
          <w:rFonts w:asciiTheme="minorHAnsi" w:hAnsiTheme="minorHAnsi" w:cstheme="minorHAnsi"/>
          <w:b/>
          <w:bCs/>
          <w:color w:val="C00000"/>
          <w:w w:val="105"/>
          <w:sz w:val="22"/>
          <w:szCs w:val="22"/>
        </w:rPr>
        <w:t xml:space="preserve">Attendance </w:t>
      </w:r>
      <w:r w:rsidR="0071665F">
        <w:rPr>
          <w:rFonts w:cstheme="minorHAnsi"/>
          <w:b/>
          <w:bCs/>
          <w:color w:val="C00000"/>
          <w:w w:val="105"/>
        </w:rPr>
        <w:t>p</w:t>
      </w:r>
      <w:r w:rsidRPr="002866B7">
        <w:rPr>
          <w:rFonts w:asciiTheme="minorHAnsi" w:hAnsiTheme="minorHAnsi" w:cstheme="minorHAnsi"/>
          <w:b/>
          <w:bCs/>
          <w:color w:val="C00000"/>
          <w:w w:val="105"/>
          <w:sz w:val="22"/>
          <w:szCs w:val="22"/>
        </w:rPr>
        <w:t>olicy</w:t>
      </w:r>
    </w:p>
    <w:p w14:paraId="69C645CC" w14:textId="1E77ACAA" w:rsidR="00917248" w:rsidRPr="000477EA" w:rsidRDefault="00917248" w:rsidP="000477EA">
      <w:pPr>
        <w:pStyle w:val="ListParagraph"/>
        <w:numPr>
          <w:ilvl w:val="0"/>
          <w:numId w:val="8"/>
        </w:numPr>
        <w:autoSpaceDE w:val="0"/>
        <w:autoSpaceDN w:val="0"/>
        <w:adjustRightInd w:val="0"/>
        <w:spacing w:before="120" w:after="0" w:line="240" w:lineRule="auto"/>
        <w:rPr>
          <w:rFonts w:cstheme="minorHAnsi"/>
          <w:color w:val="000000"/>
        </w:rPr>
      </w:pPr>
      <w:r w:rsidRPr="000477EA">
        <w:rPr>
          <w:rFonts w:cstheme="minorHAnsi"/>
          <w:color w:val="000000"/>
        </w:rPr>
        <w:t xml:space="preserve">This course depends on instruction and your own independent study. Attend class and be present when in class. </w:t>
      </w:r>
    </w:p>
    <w:p w14:paraId="7027BA9D" w14:textId="23A8186A" w:rsidR="00886E56" w:rsidRPr="000477EA" w:rsidRDefault="00886E56" w:rsidP="000477EA">
      <w:pPr>
        <w:pStyle w:val="ListParagraph"/>
        <w:numPr>
          <w:ilvl w:val="0"/>
          <w:numId w:val="8"/>
        </w:numPr>
        <w:autoSpaceDE w:val="0"/>
        <w:autoSpaceDN w:val="0"/>
        <w:adjustRightInd w:val="0"/>
        <w:spacing w:before="120" w:after="0" w:line="240" w:lineRule="auto"/>
        <w:rPr>
          <w:rFonts w:cstheme="minorHAnsi"/>
          <w:color w:val="000000"/>
        </w:rPr>
      </w:pPr>
      <w:r w:rsidRPr="000477EA">
        <w:rPr>
          <w:rFonts w:cstheme="minorHAnsi"/>
          <w:color w:val="000000"/>
        </w:rPr>
        <w:t xml:space="preserve">Per Economics Department policy, I take attendance during the first week of the semester and drop </w:t>
      </w:r>
      <w:r w:rsidR="000477EA" w:rsidRPr="000477EA">
        <w:rPr>
          <w:rFonts w:cstheme="minorHAnsi"/>
          <w:color w:val="000000"/>
        </w:rPr>
        <w:t xml:space="preserve">from the course who </w:t>
      </w:r>
      <w:r w:rsidRPr="000477EA">
        <w:rPr>
          <w:rFonts w:cstheme="minorHAnsi"/>
          <w:color w:val="000000"/>
        </w:rPr>
        <w:t xml:space="preserve">do not show up for the first two days of class. This </w:t>
      </w:r>
      <w:r w:rsidR="000477EA" w:rsidRPr="000477EA">
        <w:rPr>
          <w:rFonts w:cstheme="minorHAnsi"/>
          <w:color w:val="000000"/>
        </w:rPr>
        <w:t xml:space="preserve">action </w:t>
      </w:r>
      <w:r w:rsidRPr="000477EA">
        <w:rPr>
          <w:rFonts w:cstheme="minorHAnsi"/>
          <w:color w:val="000000"/>
        </w:rPr>
        <w:t>open</w:t>
      </w:r>
      <w:r w:rsidR="000477EA" w:rsidRPr="000477EA">
        <w:rPr>
          <w:rFonts w:cstheme="minorHAnsi"/>
          <w:color w:val="000000"/>
        </w:rPr>
        <w:t>s</w:t>
      </w:r>
      <w:r w:rsidRPr="000477EA">
        <w:rPr>
          <w:rFonts w:cstheme="minorHAnsi"/>
          <w:color w:val="000000"/>
        </w:rPr>
        <w:t xml:space="preserve"> seats for students who are waiting to get into filled courses.</w:t>
      </w:r>
    </w:p>
    <w:p w14:paraId="5A3BC579" w14:textId="1C618678" w:rsidR="00917248" w:rsidRPr="000477EA" w:rsidRDefault="00917248" w:rsidP="000477EA">
      <w:pPr>
        <w:pStyle w:val="ListParagraph"/>
        <w:numPr>
          <w:ilvl w:val="0"/>
          <w:numId w:val="8"/>
        </w:numPr>
        <w:autoSpaceDE w:val="0"/>
        <w:autoSpaceDN w:val="0"/>
        <w:adjustRightInd w:val="0"/>
        <w:spacing w:before="120" w:after="0" w:line="240" w:lineRule="auto"/>
        <w:rPr>
          <w:rFonts w:cstheme="minorHAnsi"/>
          <w:color w:val="000000"/>
        </w:rPr>
      </w:pPr>
      <w:r w:rsidRPr="000477EA">
        <w:rPr>
          <w:rFonts w:cstheme="minorHAnsi"/>
          <w:color w:val="000000"/>
        </w:rPr>
        <w:t xml:space="preserve">While this is a discussion class that requires your real-time participation, I will attempt to accommodate those who are unable to attend due to COVID-19 issues. If you are in that situation, please let me know as soon as you can. </w:t>
      </w:r>
    </w:p>
    <w:p w14:paraId="434081C0" w14:textId="236C2D93" w:rsidR="00917248" w:rsidRPr="000477EA" w:rsidRDefault="00917248" w:rsidP="000477EA">
      <w:pPr>
        <w:pStyle w:val="ListParagraph"/>
        <w:numPr>
          <w:ilvl w:val="0"/>
          <w:numId w:val="8"/>
        </w:numPr>
        <w:autoSpaceDE w:val="0"/>
        <w:autoSpaceDN w:val="0"/>
        <w:adjustRightInd w:val="0"/>
        <w:spacing w:before="120" w:after="0" w:line="240" w:lineRule="auto"/>
        <w:rPr>
          <w:rFonts w:cstheme="minorHAnsi"/>
          <w:i/>
          <w:iCs/>
          <w:color w:val="000000"/>
        </w:rPr>
      </w:pPr>
      <w:r w:rsidRPr="000477EA">
        <w:rPr>
          <w:rFonts w:cstheme="minorHAnsi"/>
          <w:color w:val="000000"/>
        </w:rPr>
        <w:t>UNC-Chapel Hill’s attendance policy stipulates that “</w:t>
      </w:r>
      <w:r w:rsidRPr="000477EA">
        <w:rPr>
          <w:rFonts w:cstheme="minorHAnsi"/>
          <w:i/>
          <w:iCs/>
          <w:color w:val="000000"/>
        </w:rPr>
        <w:t>No right or privilege</w:t>
      </w:r>
      <w:r w:rsidR="0095280B" w:rsidRPr="000477EA">
        <w:rPr>
          <w:rFonts w:cstheme="minorHAnsi"/>
          <w:i/>
          <w:iCs/>
          <w:color w:val="000000"/>
        </w:rPr>
        <w:t xml:space="preserve"> </w:t>
      </w:r>
      <w:r w:rsidRPr="000477EA">
        <w:rPr>
          <w:rFonts w:cstheme="minorHAnsi"/>
          <w:i/>
          <w:iCs/>
          <w:color w:val="000000"/>
        </w:rPr>
        <w:t>exists that permits a student to be absent from any class meetings, except for these</w:t>
      </w:r>
      <w:r w:rsidR="0095280B" w:rsidRPr="000477EA">
        <w:rPr>
          <w:rFonts w:cstheme="minorHAnsi"/>
          <w:i/>
          <w:iCs/>
          <w:color w:val="000000"/>
        </w:rPr>
        <w:t xml:space="preserve"> </w:t>
      </w:r>
      <w:r w:rsidRPr="000477EA">
        <w:rPr>
          <w:rFonts w:cstheme="minorHAnsi"/>
          <w:i/>
          <w:iCs/>
          <w:color w:val="000000"/>
        </w:rPr>
        <w:t>University Approved Absences."</w:t>
      </w:r>
    </w:p>
    <w:p w14:paraId="1C36C556" w14:textId="1A592D42" w:rsidR="00917248" w:rsidRPr="000477EA" w:rsidRDefault="00917248" w:rsidP="000477EA">
      <w:pPr>
        <w:pStyle w:val="ListParagraph"/>
        <w:numPr>
          <w:ilvl w:val="0"/>
          <w:numId w:val="8"/>
        </w:numPr>
        <w:autoSpaceDE w:val="0"/>
        <w:autoSpaceDN w:val="0"/>
        <w:adjustRightInd w:val="0"/>
        <w:spacing w:before="120" w:after="0" w:line="240" w:lineRule="auto"/>
        <w:rPr>
          <w:rFonts w:cstheme="minorHAnsi"/>
          <w:b/>
          <w:bCs/>
          <w:color w:val="030303"/>
          <w:w w:val="105"/>
        </w:rPr>
      </w:pPr>
      <w:r w:rsidRPr="000477EA">
        <w:rPr>
          <w:rFonts w:cstheme="minorHAnsi"/>
          <w:color w:val="000000"/>
        </w:rPr>
        <w:t>The Econ 590 attendance policy conforms to the UNC-Chapel Hill’s</w:t>
      </w:r>
      <w:r w:rsidR="0095280B" w:rsidRPr="000477EA">
        <w:rPr>
          <w:rFonts w:cstheme="minorHAnsi"/>
          <w:color w:val="000000"/>
        </w:rPr>
        <w:t xml:space="preserve"> </w:t>
      </w:r>
      <w:r w:rsidRPr="000477EA">
        <w:rPr>
          <w:rFonts w:cstheme="minorHAnsi"/>
          <w:color w:val="000000"/>
        </w:rPr>
        <w:t>attendance, grading, and examination policies and procedures, as documented</w:t>
      </w:r>
      <w:r w:rsidR="0095280B" w:rsidRPr="000477EA">
        <w:rPr>
          <w:rFonts w:cstheme="minorHAnsi"/>
          <w:color w:val="000000"/>
        </w:rPr>
        <w:t xml:space="preserve"> </w:t>
      </w:r>
      <w:r w:rsidRPr="000477EA">
        <w:rPr>
          <w:rFonts w:cstheme="minorHAnsi"/>
          <w:color w:val="000000"/>
        </w:rPr>
        <w:t xml:space="preserve">in the </w:t>
      </w:r>
      <w:hyperlink r:id="rId9" w:history="1">
        <w:r w:rsidRPr="000477EA">
          <w:rPr>
            <w:rStyle w:val="Hyperlink"/>
            <w:rFonts w:cstheme="minorHAnsi"/>
          </w:rPr>
          <w:t>Academic Catalog</w:t>
        </w:r>
      </w:hyperlink>
      <w:r w:rsidRPr="000477EA">
        <w:rPr>
          <w:rFonts w:cstheme="minorHAnsi"/>
          <w:color w:val="0025FA"/>
        </w:rPr>
        <w:t xml:space="preserve"> </w:t>
      </w:r>
      <w:r w:rsidRPr="000477EA">
        <w:rPr>
          <w:rFonts w:cstheme="minorHAnsi"/>
          <w:color w:val="000000"/>
        </w:rPr>
        <w:t xml:space="preserve">(click link to read </w:t>
      </w:r>
      <w:hyperlink r:id="rId10" w:history="1">
        <w:r w:rsidRPr="000477EA">
          <w:rPr>
            <w:rStyle w:val="Hyperlink"/>
            <w:rFonts w:cstheme="minorHAnsi"/>
          </w:rPr>
          <w:t>the policy</w:t>
        </w:r>
      </w:hyperlink>
      <w:r w:rsidRPr="000477EA">
        <w:rPr>
          <w:rFonts w:cstheme="minorHAnsi"/>
          <w:color w:val="000000"/>
        </w:rPr>
        <w:t>).</w:t>
      </w:r>
      <w:r w:rsidRPr="000477EA">
        <w:rPr>
          <w:rFonts w:cstheme="minorHAnsi"/>
          <w:b/>
          <w:bCs/>
          <w:color w:val="030303"/>
          <w:w w:val="105"/>
        </w:rPr>
        <w:t xml:space="preserve"> </w:t>
      </w:r>
    </w:p>
    <w:p w14:paraId="4F1430DE" w14:textId="66C39D7E" w:rsidR="002866B7" w:rsidRDefault="00917248" w:rsidP="0009104C">
      <w:pPr>
        <w:pStyle w:val="BodyText"/>
        <w:shd w:val="clear" w:color="auto" w:fill="FFFFFF" w:themeFill="background1"/>
        <w:spacing w:before="120"/>
        <w:rPr>
          <w:rFonts w:asciiTheme="minorHAnsi" w:hAnsiTheme="minorHAnsi" w:cstheme="minorHAnsi"/>
        </w:rPr>
      </w:pPr>
      <w:r w:rsidRPr="002866B7">
        <w:rPr>
          <w:rFonts w:asciiTheme="minorHAnsi" w:hAnsiTheme="minorHAnsi" w:cstheme="minorHAnsi"/>
          <w:b/>
          <w:color w:val="C00000"/>
          <w:sz w:val="22"/>
          <w:szCs w:val="22"/>
        </w:rPr>
        <w:t xml:space="preserve">Academic </w:t>
      </w:r>
      <w:r w:rsidR="0071665F">
        <w:rPr>
          <w:rFonts w:asciiTheme="minorHAnsi" w:hAnsiTheme="minorHAnsi" w:cstheme="minorHAnsi"/>
          <w:b/>
          <w:color w:val="C00000"/>
          <w:sz w:val="22"/>
          <w:szCs w:val="22"/>
        </w:rPr>
        <w:t>i</w:t>
      </w:r>
      <w:r w:rsidRPr="002866B7">
        <w:rPr>
          <w:rFonts w:asciiTheme="minorHAnsi" w:hAnsiTheme="minorHAnsi" w:cstheme="minorHAnsi"/>
          <w:b/>
          <w:color w:val="C00000"/>
          <w:sz w:val="22"/>
          <w:szCs w:val="22"/>
        </w:rPr>
        <w:t>ntegrity</w:t>
      </w:r>
      <w:r w:rsidRPr="002866B7">
        <w:rPr>
          <w:rFonts w:asciiTheme="minorHAnsi" w:hAnsiTheme="minorHAnsi" w:cstheme="minorHAnsi"/>
          <w:color w:val="C00000"/>
          <w:sz w:val="22"/>
          <w:szCs w:val="22"/>
        </w:rPr>
        <w:t xml:space="preserve"> </w:t>
      </w:r>
    </w:p>
    <w:p w14:paraId="170780A0" w14:textId="6CBF4DC3" w:rsidR="00917248" w:rsidRPr="00E902EB" w:rsidRDefault="00917248" w:rsidP="00917248">
      <w:pPr>
        <w:pStyle w:val="NoSpacing"/>
        <w:shd w:val="clear" w:color="auto" w:fill="FFFFFF" w:themeFill="background1"/>
        <w:jc w:val="both"/>
        <w:rPr>
          <w:rFonts w:asciiTheme="minorHAnsi" w:hAnsiTheme="minorHAnsi" w:cstheme="minorHAnsi"/>
        </w:rPr>
      </w:pPr>
      <w:r w:rsidRPr="00DE5D69">
        <w:rPr>
          <w:rFonts w:asciiTheme="minorHAnsi" w:hAnsiTheme="minorHAnsi" w:cstheme="minorHAnsi"/>
        </w:rPr>
        <w:t>All students are expected to adhere to the Honor Code (honor.unc.edu). Any violation will result in an F for the course, and other sanctions may apply.</w:t>
      </w:r>
    </w:p>
    <w:p w14:paraId="5804F277" w14:textId="6DFFD240" w:rsidR="002866B7" w:rsidRDefault="00917248" w:rsidP="0009104C">
      <w:pPr>
        <w:pStyle w:val="BodyText"/>
        <w:shd w:val="clear" w:color="auto" w:fill="FFFFFF" w:themeFill="background1"/>
        <w:spacing w:before="120"/>
        <w:rPr>
          <w:rFonts w:asciiTheme="minorHAnsi" w:hAnsiTheme="minorHAnsi" w:cstheme="minorHAnsi"/>
          <w:b/>
          <w:bCs/>
        </w:rPr>
      </w:pPr>
      <w:r w:rsidRPr="002866B7">
        <w:rPr>
          <w:rFonts w:asciiTheme="minorHAnsi" w:hAnsiTheme="minorHAnsi" w:cstheme="minorHAnsi"/>
          <w:b/>
          <w:bCs/>
          <w:color w:val="C00000"/>
          <w:sz w:val="22"/>
          <w:szCs w:val="22"/>
        </w:rPr>
        <w:t xml:space="preserve">Community </w:t>
      </w:r>
      <w:r w:rsidR="0071665F">
        <w:rPr>
          <w:rFonts w:asciiTheme="minorHAnsi" w:hAnsiTheme="minorHAnsi" w:cstheme="minorHAnsi"/>
          <w:b/>
          <w:bCs/>
          <w:color w:val="C00000"/>
          <w:sz w:val="22"/>
          <w:szCs w:val="22"/>
        </w:rPr>
        <w:t>s</w:t>
      </w:r>
      <w:r w:rsidRPr="002866B7">
        <w:rPr>
          <w:rFonts w:asciiTheme="minorHAnsi" w:hAnsiTheme="minorHAnsi" w:cstheme="minorHAnsi"/>
          <w:b/>
          <w:bCs/>
          <w:color w:val="C00000"/>
          <w:sz w:val="22"/>
          <w:szCs w:val="22"/>
        </w:rPr>
        <w:t>tandards</w:t>
      </w:r>
    </w:p>
    <w:p w14:paraId="09CFC45E" w14:textId="0AFF8B04" w:rsidR="00917248" w:rsidRPr="00E902EB" w:rsidRDefault="00706634" w:rsidP="00E902EB">
      <w:pPr>
        <w:pStyle w:val="NoSpacing"/>
        <w:shd w:val="clear" w:color="auto" w:fill="FFFFFF" w:themeFill="background1"/>
        <w:rPr>
          <w:rFonts w:asciiTheme="minorHAnsi" w:hAnsiTheme="minorHAnsi" w:cstheme="minorHAnsi"/>
          <w:b/>
          <w:bCs/>
        </w:rPr>
      </w:pPr>
      <w:r>
        <w:rPr>
          <w:rFonts w:asciiTheme="minorHAnsi" w:hAnsiTheme="minorHAnsi" w:cstheme="minorHAnsi"/>
        </w:rPr>
        <w:t>W</w:t>
      </w:r>
      <w:r w:rsidR="00917248" w:rsidRPr="00DE5D69">
        <w:rPr>
          <w:rFonts w:asciiTheme="minorHAnsi" w:hAnsiTheme="minorHAnsi" w:cstheme="minorHAnsi"/>
        </w:rPr>
        <w:t xml:space="preserve">e are </w:t>
      </w:r>
      <w:proofErr w:type="gramStart"/>
      <w:r w:rsidR="00917248" w:rsidRPr="00DE5D69">
        <w:rPr>
          <w:rFonts w:asciiTheme="minorHAnsi" w:hAnsiTheme="minorHAnsi" w:cstheme="minorHAnsi"/>
        </w:rPr>
        <w:t>in the midst of</w:t>
      </w:r>
      <w:proofErr w:type="gramEnd"/>
      <w:r w:rsidR="00917248" w:rsidRPr="00DE5D69">
        <w:rPr>
          <w:rFonts w:asciiTheme="minorHAnsi" w:hAnsiTheme="minorHAnsi" w:cstheme="minorHAnsi"/>
        </w:rPr>
        <w:t xml:space="preserve"> a global pandemic</w:t>
      </w:r>
      <w:r>
        <w:rPr>
          <w:rFonts w:asciiTheme="minorHAnsi" w:hAnsiTheme="minorHAnsi" w:cstheme="minorHAnsi"/>
        </w:rPr>
        <w:t xml:space="preserve">. This semester </w:t>
      </w:r>
      <w:r w:rsidR="00917248" w:rsidRPr="00DE5D69">
        <w:rPr>
          <w:rFonts w:asciiTheme="minorHAnsi" w:hAnsiTheme="minorHAnsi" w:cstheme="minorHAnsi"/>
        </w:rPr>
        <w:t xml:space="preserve">all enrolled students are </w:t>
      </w:r>
      <w:proofErr w:type="gramStart"/>
      <w:r w:rsidR="00917248" w:rsidRPr="00DE5D69">
        <w:rPr>
          <w:rFonts w:asciiTheme="minorHAnsi" w:hAnsiTheme="minorHAnsi" w:cstheme="minorHAnsi"/>
        </w:rPr>
        <w:t xml:space="preserve">required </w:t>
      </w:r>
      <w:r w:rsidRPr="00DE5D69">
        <w:rPr>
          <w:rFonts w:asciiTheme="minorHAnsi" w:hAnsiTheme="minorHAnsi" w:cstheme="minorHAnsi"/>
        </w:rPr>
        <w:t>at all times</w:t>
      </w:r>
      <w:proofErr w:type="gramEnd"/>
      <w:r w:rsidRPr="00DE5D69">
        <w:rPr>
          <w:rFonts w:asciiTheme="minorHAnsi" w:hAnsiTheme="minorHAnsi" w:cstheme="minorHAnsi"/>
        </w:rPr>
        <w:t xml:space="preserve"> </w:t>
      </w:r>
      <w:r w:rsidR="00917248" w:rsidRPr="00DE5D69">
        <w:rPr>
          <w:rFonts w:asciiTheme="minorHAnsi" w:hAnsiTheme="minorHAnsi" w:cstheme="minorHAnsi"/>
        </w:rPr>
        <w:t xml:space="preserve">to wear a mask covering </w:t>
      </w:r>
      <w:r>
        <w:rPr>
          <w:rFonts w:asciiTheme="minorHAnsi" w:hAnsiTheme="minorHAnsi" w:cstheme="minorHAnsi"/>
        </w:rPr>
        <w:t xml:space="preserve">the </w:t>
      </w:r>
      <w:r w:rsidR="00917248" w:rsidRPr="00DE5D69">
        <w:rPr>
          <w:rFonts w:asciiTheme="minorHAnsi" w:hAnsiTheme="minorHAnsi" w:cstheme="minorHAnsi"/>
        </w:rPr>
        <w:t xml:space="preserve">mouth and nose in our classroom. This requirement is to protect our educational community — your classmates and me – as we learn together. If you choose not to wear a mask, or wear it improperly, I will ask you to leave immediately, and I will submit a report to the </w:t>
      </w:r>
      <w:hyperlink r:id="rId11" w:history="1">
        <w:r w:rsidR="00917248" w:rsidRPr="00DE5D69">
          <w:rPr>
            <w:rStyle w:val="Hyperlink"/>
            <w:rFonts w:asciiTheme="minorHAnsi" w:hAnsiTheme="minorHAnsi" w:cstheme="minorHAnsi"/>
          </w:rPr>
          <w:t>Office of Student Conduct</w:t>
        </w:r>
      </w:hyperlink>
      <w:r w:rsidR="00917248" w:rsidRPr="00DE5D69">
        <w:rPr>
          <w:rFonts w:asciiTheme="minorHAnsi" w:hAnsiTheme="minorHAnsi" w:cstheme="minorHAnsi"/>
        </w:rPr>
        <w:t xml:space="preserve">.  At that point you will be disenrolled from this course for the protection of our educational community. Students who have an authorized accommodation from Accessibility Resources and Service have an exception.  For additional information, see </w:t>
      </w:r>
      <w:hyperlink r:id="rId12" w:tgtFrame="_blank" w:history="1">
        <w:r w:rsidR="00917248" w:rsidRPr="00DE5D69">
          <w:rPr>
            <w:rStyle w:val="Hyperlink"/>
            <w:rFonts w:asciiTheme="minorHAnsi" w:hAnsiTheme="minorHAnsi" w:cstheme="minorHAnsi"/>
          </w:rPr>
          <w:t>Carolina Together</w:t>
        </w:r>
      </w:hyperlink>
      <w:r w:rsidR="00917248" w:rsidRPr="00DE5D69">
        <w:rPr>
          <w:rFonts w:asciiTheme="minorHAnsi" w:hAnsiTheme="minorHAnsi" w:cstheme="minorHAnsi"/>
        </w:rPr>
        <w:t>.</w:t>
      </w:r>
    </w:p>
    <w:p w14:paraId="0DBCECEE" w14:textId="5C7F314B" w:rsidR="00F54EF5" w:rsidRPr="00E902EB" w:rsidRDefault="00917248" w:rsidP="0009104C">
      <w:pPr>
        <w:pStyle w:val="BodyText"/>
        <w:shd w:val="clear" w:color="auto" w:fill="FFFFFF" w:themeFill="background1"/>
        <w:spacing w:before="120"/>
        <w:rPr>
          <w:rFonts w:asciiTheme="minorHAnsi" w:hAnsiTheme="minorHAnsi" w:cstheme="minorHAnsi"/>
          <w:b/>
          <w:bCs/>
          <w:color w:val="C00000"/>
          <w:sz w:val="22"/>
          <w:szCs w:val="22"/>
        </w:rPr>
      </w:pPr>
      <w:r w:rsidRPr="00F54EF5">
        <w:rPr>
          <w:rFonts w:asciiTheme="minorHAnsi" w:hAnsiTheme="minorHAnsi" w:cstheme="minorHAnsi"/>
          <w:b/>
          <w:bCs/>
          <w:color w:val="C00000"/>
          <w:sz w:val="22"/>
          <w:szCs w:val="22"/>
        </w:rPr>
        <w:t>Counselling and Psychological Services</w:t>
      </w:r>
      <w:r w:rsidR="00130CDA">
        <w:rPr>
          <w:rFonts w:asciiTheme="minorHAnsi" w:hAnsiTheme="minorHAnsi" w:cstheme="minorHAnsi"/>
          <w:b/>
          <w:bCs/>
          <w:color w:val="C00000"/>
          <w:sz w:val="22"/>
          <w:szCs w:val="22"/>
        </w:rPr>
        <w:t xml:space="preserve"> </w:t>
      </w:r>
    </w:p>
    <w:p w14:paraId="3F0B9EDF" w14:textId="4418DD1E" w:rsidR="00917248" w:rsidRPr="00F54EF5" w:rsidRDefault="00130CDA" w:rsidP="008178E4">
      <w:pPr>
        <w:rPr>
          <w:rFonts w:cstheme="minorHAnsi"/>
          <w:b/>
          <w:bCs/>
          <w:color w:val="030303"/>
          <w:w w:val="105"/>
        </w:rPr>
      </w:pPr>
      <w:r w:rsidRPr="00130CDA">
        <w:rPr>
          <w:rFonts w:cstheme="minorHAnsi"/>
        </w:rPr>
        <w:t xml:space="preserve">Counselling and Psychological Services </w:t>
      </w:r>
      <w:r w:rsidR="00917248" w:rsidRPr="00DE5D69">
        <w:rPr>
          <w:rFonts w:cstheme="minorHAnsi"/>
        </w:rPr>
        <w:t xml:space="preserve">is strongly committed to addressing the mental health needs of a diverse student body through timely access to consultation and connection to clinically appropriate </w:t>
      </w:r>
      <w:r w:rsidR="00917248" w:rsidRPr="00DE5D69">
        <w:rPr>
          <w:rFonts w:cstheme="minorHAnsi"/>
        </w:rPr>
        <w:lastRenderedPageBreak/>
        <w:t xml:space="preserve">services, whether for short or long-term needs. Go to their website: </w:t>
      </w:r>
      <w:hyperlink r:id="rId13" w:tgtFrame="_blank" w:history="1">
        <w:r w:rsidR="00917248" w:rsidRPr="00DE5D69">
          <w:rPr>
            <w:rStyle w:val="Hyperlink"/>
            <w:rFonts w:cstheme="minorHAnsi"/>
          </w:rPr>
          <w:t>https://caps.unc.edu/</w:t>
        </w:r>
      </w:hyperlink>
      <w:r w:rsidR="00917248" w:rsidRPr="00DE5D69">
        <w:rPr>
          <w:rFonts w:cstheme="minorHAnsi"/>
        </w:rPr>
        <w:t xml:space="preserve"> or visit their facilities on the third floor of the Campus Health Services building for a walk-in evaluation to learn more.</w:t>
      </w:r>
    </w:p>
    <w:p w14:paraId="53BD4F6E" w14:textId="29B5E0CF" w:rsidR="001B2843" w:rsidRDefault="001B2843" w:rsidP="001B2843">
      <w:pPr>
        <w:rPr>
          <w:rFonts w:cstheme="minorHAnsi"/>
        </w:rPr>
      </w:pPr>
      <w:r w:rsidRPr="00DE5D69">
        <w:rPr>
          <w:rFonts w:cstheme="minorHAnsi"/>
        </w:rPr>
        <w:t xml:space="preserve">Peer tutoring is available at </w:t>
      </w:r>
      <w:hyperlink r:id="rId14" w:history="1">
        <w:r w:rsidR="0009104C" w:rsidRPr="00E809CD">
          <w:rPr>
            <w:rStyle w:val="Hyperlink"/>
            <w:rFonts w:cstheme="minorHAnsi"/>
          </w:rPr>
          <w:t>https://econ.unc.edu/undergraduate/econaid/</w:t>
        </w:r>
      </w:hyperlink>
      <w:r w:rsidR="0009104C">
        <w:rPr>
          <w:rFonts w:cstheme="minorHAnsi"/>
        </w:rPr>
        <w:t xml:space="preserve"> </w:t>
      </w:r>
    </w:p>
    <w:p w14:paraId="55F5A9C1" w14:textId="33671622" w:rsidR="00F54EF5" w:rsidRPr="00F54EF5" w:rsidRDefault="00F21F84" w:rsidP="0009104C">
      <w:pPr>
        <w:pStyle w:val="BodyText"/>
        <w:shd w:val="clear" w:color="auto" w:fill="FFFFFF" w:themeFill="background1"/>
        <w:spacing w:before="120"/>
        <w:rPr>
          <w:rFonts w:asciiTheme="minorHAnsi" w:hAnsiTheme="minorHAnsi" w:cstheme="minorHAnsi"/>
          <w:b/>
          <w:bCs/>
          <w:color w:val="C00000"/>
          <w:sz w:val="22"/>
          <w:szCs w:val="22"/>
        </w:rPr>
      </w:pPr>
      <w:r w:rsidRPr="00F54EF5">
        <w:rPr>
          <w:rFonts w:asciiTheme="minorHAnsi" w:hAnsiTheme="minorHAnsi" w:cstheme="minorHAnsi"/>
          <w:b/>
          <w:bCs/>
          <w:color w:val="C00000"/>
          <w:sz w:val="22"/>
          <w:szCs w:val="22"/>
        </w:rPr>
        <w:t xml:space="preserve">Title IX </w:t>
      </w:r>
      <w:r w:rsidR="0071665F">
        <w:rPr>
          <w:rFonts w:asciiTheme="minorHAnsi" w:hAnsiTheme="minorHAnsi" w:cstheme="minorHAnsi"/>
          <w:b/>
          <w:bCs/>
          <w:color w:val="C00000"/>
          <w:sz w:val="22"/>
          <w:szCs w:val="22"/>
        </w:rPr>
        <w:t>r</w:t>
      </w:r>
      <w:r w:rsidRPr="00F54EF5">
        <w:rPr>
          <w:rFonts w:asciiTheme="minorHAnsi" w:hAnsiTheme="minorHAnsi" w:cstheme="minorHAnsi"/>
          <w:b/>
          <w:bCs/>
          <w:color w:val="C00000"/>
          <w:sz w:val="22"/>
          <w:szCs w:val="22"/>
        </w:rPr>
        <w:t>esources</w:t>
      </w:r>
    </w:p>
    <w:p w14:paraId="69256D78" w14:textId="049B5417" w:rsidR="00F21F84" w:rsidRPr="00DE5D69" w:rsidRDefault="00F21F84" w:rsidP="00F21F84">
      <w:pPr>
        <w:pStyle w:val="BodyText"/>
        <w:shd w:val="clear" w:color="auto" w:fill="FFFFFF" w:themeFill="background1"/>
        <w:rPr>
          <w:rFonts w:asciiTheme="minorHAnsi" w:hAnsiTheme="minorHAnsi" w:cstheme="minorHAnsi"/>
          <w:sz w:val="22"/>
          <w:szCs w:val="22"/>
        </w:rPr>
      </w:pPr>
      <w:r w:rsidRPr="00DE5D69">
        <w:rPr>
          <w:rFonts w:asciiTheme="minorHAnsi" w:hAnsiTheme="minorHAnsi" w:cstheme="minorHAnsi"/>
          <w:sz w:val="22"/>
          <w:szCs w:val="22"/>
        </w:rPr>
        <w:t xml:space="preserve">Any student who is impacted by discrimination, harassment, interpersonal (relationship) violence, sexual violence, sexual exploitation, or stalking is encouraged to seek resources on campus or in the community. Please contact the Director of Title IX Compliance (Adrienne Allison – </w:t>
      </w:r>
      <w:hyperlink r:id="rId15" w:history="1">
        <w:r w:rsidRPr="00DE5D69">
          <w:rPr>
            <w:rStyle w:val="Hyperlink"/>
            <w:rFonts w:asciiTheme="minorHAnsi" w:hAnsiTheme="minorHAnsi" w:cstheme="minorHAnsi"/>
            <w:sz w:val="22"/>
            <w:szCs w:val="22"/>
          </w:rPr>
          <w:t>Adrienne.allison@unc.edu</w:t>
        </w:r>
      </w:hyperlink>
      <w:r w:rsidRPr="00DE5D69">
        <w:rPr>
          <w:rFonts w:asciiTheme="minorHAnsi" w:hAnsiTheme="minorHAnsi" w:cstheme="minorHAnsi"/>
          <w:sz w:val="22"/>
          <w:szCs w:val="22"/>
        </w:rPr>
        <w:t>), Report and Response Coordinators in the Equal Opportunity and Compliance Office (</w:t>
      </w:r>
      <w:hyperlink r:id="rId16" w:history="1">
        <w:r w:rsidRPr="00DE5D69">
          <w:rPr>
            <w:rStyle w:val="Hyperlink"/>
            <w:rFonts w:asciiTheme="minorHAnsi" w:hAnsiTheme="minorHAnsi" w:cstheme="minorHAnsi"/>
            <w:sz w:val="22"/>
            <w:szCs w:val="22"/>
          </w:rPr>
          <w:t>reportandresponse@unc.edu</w:t>
        </w:r>
      </w:hyperlink>
      <w:r w:rsidRPr="00DE5D69">
        <w:rPr>
          <w:rFonts w:asciiTheme="minorHAnsi" w:hAnsiTheme="minorHAnsi" w:cstheme="minorHAnsi"/>
          <w:sz w:val="22"/>
          <w:szCs w:val="22"/>
        </w:rPr>
        <w:t>), Counseling and Psychological Services (confidential), or the Gender Violence Services Coordinators (</w:t>
      </w:r>
      <w:hyperlink r:id="rId17" w:history="1">
        <w:r w:rsidRPr="00DE5D69">
          <w:rPr>
            <w:rStyle w:val="Hyperlink"/>
            <w:rFonts w:asciiTheme="minorHAnsi" w:hAnsiTheme="minorHAnsi" w:cstheme="minorHAnsi"/>
            <w:sz w:val="22"/>
            <w:szCs w:val="22"/>
          </w:rPr>
          <w:t>gvsc@unc.edu</w:t>
        </w:r>
      </w:hyperlink>
      <w:r w:rsidRPr="00DE5D69">
        <w:rPr>
          <w:rFonts w:asciiTheme="minorHAnsi" w:hAnsiTheme="minorHAnsi" w:cstheme="minorHAnsi"/>
          <w:sz w:val="22"/>
          <w:szCs w:val="22"/>
        </w:rPr>
        <w:t>; confidential) to discuss your specific needs. Additional resources are available at safe.unc.edu.</w:t>
      </w:r>
    </w:p>
    <w:p w14:paraId="78F3ED5A" w14:textId="77777777" w:rsidR="00F54EF5" w:rsidRPr="00F54EF5" w:rsidRDefault="00F21F84" w:rsidP="00506D88">
      <w:pPr>
        <w:pStyle w:val="BodyText"/>
        <w:shd w:val="clear" w:color="auto" w:fill="FFFFFF" w:themeFill="background1"/>
        <w:spacing w:before="120"/>
        <w:rPr>
          <w:rFonts w:asciiTheme="minorHAnsi" w:hAnsiTheme="minorHAnsi" w:cstheme="minorHAnsi"/>
          <w:b/>
          <w:bCs/>
          <w:color w:val="C00000"/>
          <w:sz w:val="22"/>
          <w:szCs w:val="22"/>
        </w:rPr>
      </w:pPr>
      <w:r w:rsidRPr="00F54EF5">
        <w:rPr>
          <w:rFonts w:asciiTheme="minorHAnsi" w:hAnsiTheme="minorHAnsi" w:cstheme="minorHAnsi"/>
          <w:b/>
          <w:bCs/>
          <w:color w:val="C00000"/>
          <w:sz w:val="22"/>
          <w:szCs w:val="22"/>
        </w:rPr>
        <w:t>Accessibility Resources and Service</w:t>
      </w:r>
      <w:r w:rsidR="00F54EF5" w:rsidRPr="00F54EF5">
        <w:rPr>
          <w:rFonts w:asciiTheme="minorHAnsi" w:hAnsiTheme="minorHAnsi" w:cstheme="minorHAnsi"/>
          <w:b/>
          <w:bCs/>
          <w:color w:val="C00000"/>
          <w:sz w:val="22"/>
          <w:szCs w:val="22"/>
        </w:rPr>
        <w:t xml:space="preserve"> </w:t>
      </w:r>
    </w:p>
    <w:p w14:paraId="1095D2C7" w14:textId="02866596" w:rsidR="00F21F84" w:rsidRPr="00F54EF5" w:rsidRDefault="00F21F84" w:rsidP="00F21F84">
      <w:pPr>
        <w:rPr>
          <w:rFonts w:cstheme="minorHAnsi"/>
          <w:b/>
          <w:bCs/>
        </w:rPr>
      </w:pPr>
      <w:r w:rsidRPr="00DE5D69">
        <w:rPr>
          <w:rFonts w:cstheme="minorHAnsi"/>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DE5D69">
        <w:rPr>
          <w:rFonts w:cstheme="minorHAnsi"/>
        </w:rPr>
        <w:t>disability</w:t>
      </w:r>
      <w:proofErr w:type="gramEnd"/>
      <w:r w:rsidRPr="00DE5D69">
        <w:rPr>
          <w:rFonts w:cstheme="minorHAnsi"/>
        </w:rPr>
        <w:t xml:space="preserve"> or pregnancy complications resulting in barriers to fully accessing University courses, programs and activities. Accommodations are determined through the Office of Accessibility Resources and Service (ARS) for individuals with documented qualifying disabilities in accordance with applicable state and federal laws. See the ARS Website for contact information: </w:t>
      </w:r>
      <w:hyperlink r:id="rId18" w:history="1">
        <w:r w:rsidRPr="00DE5D69">
          <w:rPr>
            <w:rStyle w:val="Hyperlink"/>
            <w:rFonts w:cstheme="minorHAnsi"/>
          </w:rPr>
          <w:t>https://ars.unc.edu</w:t>
        </w:r>
      </w:hyperlink>
      <w:r w:rsidRPr="00DE5D69">
        <w:rPr>
          <w:rFonts w:cstheme="minorHAnsi"/>
        </w:rPr>
        <w:t xml:space="preserve"> or email </w:t>
      </w:r>
      <w:hyperlink r:id="rId19" w:history="1">
        <w:r w:rsidRPr="00DE5D69">
          <w:rPr>
            <w:rStyle w:val="Hyperlink"/>
            <w:rFonts w:cstheme="minorHAnsi"/>
          </w:rPr>
          <w:t>ars@unc.edu</w:t>
        </w:r>
      </w:hyperlink>
      <w:r w:rsidRPr="00DE5D69">
        <w:rPr>
          <w:rFonts w:cstheme="minorHAnsi"/>
        </w:rPr>
        <w:t>.</w:t>
      </w:r>
    </w:p>
    <w:p w14:paraId="5EC3D456" w14:textId="772AB82B" w:rsidR="00F21F84" w:rsidRPr="00D854FB" w:rsidRDefault="00E22FDB" w:rsidP="00F21F84">
      <w:pPr>
        <w:pStyle w:val="BodyText"/>
        <w:shd w:val="clear" w:color="auto" w:fill="FFFFFF" w:themeFill="background1"/>
        <w:rPr>
          <w:rFonts w:asciiTheme="minorHAnsi" w:hAnsiTheme="minorHAnsi" w:cstheme="minorHAnsi"/>
          <w:b/>
          <w:bCs/>
          <w:color w:val="C00000"/>
          <w:sz w:val="22"/>
          <w:szCs w:val="22"/>
        </w:rPr>
      </w:pPr>
      <w:r>
        <w:rPr>
          <w:rFonts w:asciiTheme="minorHAnsi" w:hAnsiTheme="minorHAnsi" w:cstheme="minorHAnsi"/>
          <w:b/>
          <w:bCs/>
          <w:color w:val="C00000"/>
          <w:sz w:val="22"/>
          <w:szCs w:val="22"/>
        </w:rPr>
        <w:t>Important dates</w:t>
      </w:r>
      <w:r w:rsidR="00506D88">
        <w:rPr>
          <w:rFonts w:asciiTheme="minorHAnsi" w:hAnsiTheme="minorHAnsi" w:cstheme="minorHAnsi"/>
          <w:b/>
          <w:bCs/>
          <w:color w:val="C00000"/>
          <w:sz w:val="22"/>
          <w:szCs w:val="22"/>
        </w:rPr>
        <w:t xml:space="preserve"> (As of August 18, 2021)</w:t>
      </w:r>
    </w:p>
    <w:p w14:paraId="19B5E25A" w14:textId="5E0EDEBB" w:rsidR="00F21F84" w:rsidRDefault="00F21F84" w:rsidP="00F21F84">
      <w:pPr>
        <w:pStyle w:val="BodyText"/>
        <w:shd w:val="clear" w:color="auto" w:fill="FFFFFF" w:themeFill="background1"/>
        <w:rPr>
          <w:rFonts w:asciiTheme="minorHAnsi" w:hAnsiTheme="minorHAnsi" w:cstheme="minorHAnsi"/>
          <w:sz w:val="22"/>
          <w:szCs w:val="22"/>
        </w:rPr>
      </w:pPr>
    </w:p>
    <w:tbl>
      <w:tblPr>
        <w:tblStyle w:val="GridTable4-Accent3"/>
        <w:tblW w:w="0" w:type="auto"/>
        <w:tblLook w:val="04A0" w:firstRow="1" w:lastRow="0" w:firstColumn="1" w:lastColumn="0" w:noHBand="0" w:noVBand="1"/>
      </w:tblPr>
      <w:tblGrid>
        <w:gridCol w:w="4675"/>
        <w:gridCol w:w="4675"/>
      </w:tblGrid>
      <w:tr w:rsidR="003E3C25" w14:paraId="025949A8" w14:textId="77777777" w:rsidTr="00674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F7AF12C" w14:textId="1462C921" w:rsidR="003E3C25" w:rsidRDefault="003E3C25" w:rsidP="003E3C25">
            <w:pPr>
              <w:pStyle w:val="BodyText"/>
              <w:rPr>
                <w:rFonts w:asciiTheme="minorHAnsi" w:hAnsiTheme="minorHAnsi" w:cstheme="minorHAnsi"/>
                <w:sz w:val="22"/>
                <w:szCs w:val="22"/>
              </w:rPr>
            </w:pPr>
            <w:r w:rsidRPr="006B494D">
              <w:t>What</w:t>
            </w:r>
          </w:p>
        </w:tc>
        <w:tc>
          <w:tcPr>
            <w:tcW w:w="4675" w:type="dxa"/>
          </w:tcPr>
          <w:p w14:paraId="2A8318C0" w14:textId="2CCAB960" w:rsidR="003E3C25" w:rsidRDefault="003E3C25" w:rsidP="003E3C25">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494D">
              <w:t>When</w:t>
            </w:r>
          </w:p>
        </w:tc>
      </w:tr>
      <w:tr w:rsidR="003E3C25" w14:paraId="0E5CBAD7" w14:textId="77777777" w:rsidTr="00674F3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675" w:type="dxa"/>
          </w:tcPr>
          <w:p w14:paraId="366B6595" w14:textId="78366F2A" w:rsidR="003E3C25" w:rsidRDefault="003E3C25" w:rsidP="003E3C25">
            <w:pPr>
              <w:pStyle w:val="BodyText"/>
              <w:rPr>
                <w:rFonts w:asciiTheme="minorHAnsi" w:hAnsiTheme="minorHAnsi" w:cstheme="minorHAnsi"/>
                <w:sz w:val="22"/>
                <w:szCs w:val="22"/>
              </w:rPr>
            </w:pPr>
            <w:r w:rsidRPr="006B494D">
              <w:t xml:space="preserve">Mid-term </w:t>
            </w:r>
          </w:p>
        </w:tc>
        <w:tc>
          <w:tcPr>
            <w:tcW w:w="4675" w:type="dxa"/>
          </w:tcPr>
          <w:p w14:paraId="5124DDC5" w14:textId="5B538F8C" w:rsidR="003E3C25" w:rsidRDefault="003E3C25" w:rsidP="003E3C25">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494D">
              <w:t>October 4</w:t>
            </w:r>
          </w:p>
        </w:tc>
      </w:tr>
      <w:tr w:rsidR="003E3C25" w14:paraId="5A9AD783" w14:textId="77777777" w:rsidTr="00674F31">
        <w:trPr>
          <w:trHeight w:val="341"/>
        </w:trPr>
        <w:tc>
          <w:tcPr>
            <w:cnfStyle w:val="001000000000" w:firstRow="0" w:lastRow="0" w:firstColumn="1" w:lastColumn="0" w:oddVBand="0" w:evenVBand="0" w:oddHBand="0" w:evenHBand="0" w:firstRowFirstColumn="0" w:firstRowLastColumn="0" w:lastRowFirstColumn="0" w:lastRowLastColumn="0"/>
            <w:tcW w:w="4675" w:type="dxa"/>
          </w:tcPr>
          <w:p w14:paraId="16788FA4" w14:textId="2FB6E047" w:rsidR="003E3C25" w:rsidRDefault="003E3C25" w:rsidP="003E3C25">
            <w:pPr>
              <w:pStyle w:val="BodyText"/>
              <w:rPr>
                <w:rFonts w:asciiTheme="minorHAnsi" w:hAnsiTheme="minorHAnsi" w:cstheme="minorHAnsi"/>
                <w:sz w:val="22"/>
                <w:szCs w:val="22"/>
              </w:rPr>
            </w:pPr>
            <w:r w:rsidRPr="006B494D">
              <w:t xml:space="preserve">Paper </w:t>
            </w:r>
          </w:p>
        </w:tc>
        <w:tc>
          <w:tcPr>
            <w:tcW w:w="4675" w:type="dxa"/>
          </w:tcPr>
          <w:p w14:paraId="2A2B4FA3" w14:textId="0BF9E6B8" w:rsidR="003E3C25" w:rsidRDefault="00063D9A" w:rsidP="003E3C25">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494D">
              <w:t>November 1</w:t>
            </w:r>
          </w:p>
        </w:tc>
      </w:tr>
      <w:tr w:rsidR="000C05B6" w14:paraId="7FACA065" w14:textId="77777777" w:rsidTr="00674F3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tcPr>
          <w:p w14:paraId="014A9862" w14:textId="51C4E2C4" w:rsidR="000C05B6" w:rsidRDefault="000C05B6" w:rsidP="000C05B6">
            <w:pPr>
              <w:pStyle w:val="BodyText"/>
              <w:rPr>
                <w:rFonts w:asciiTheme="minorHAnsi" w:hAnsiTheme="minorHAnsi" w:cstheme="minorHAnsi"/>
                <w:sz w:val="22"/>
                <w:szCs w:val="22"/>
              </w:rPr>
            </w:pPr>
            <w:r w:rsidRPr="006B494D">
              <w:t xml:space="preserve">Group presentations </w:t>
            </w:r>
          </w:p>
        </w:tc>
        <w:tc>
          <w:tcPr>
            <w:tcW w:w="4675" w:type="dxa"/>
          </w:tcPr>
          <w:p w14:paraId="25C48846" w14:textId="3E9F32D5" w:rsidR="000C05B6" w:rsidRDefault="0084101F" w:rsidP="000C05B6">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November 10 or 15</w:t>
            </w:r>
          </w:p>
        </w:tc>
      </w:tr>
      <w:tr w:rsidR="000C05B6" w14:paraId="7C42BA8F" w14:textId="77777777" w:rsidTr="00674F31">
        <w:trPr>
          <w:trHeight w:val="359"/>
        </w:trPr>
        <w:tc>
          <w:tcPr>
            <w:cnfStyle w:val="001000000000" w:firstRow="0" w:lastRow="0" w:firstColumn="1" w:lastColumn="0" w:oddVBand="0" w:evenVBand="0" w:oddHBand="0" w:evenHBand="0" w:firstRowFirstColumn="0" w:firstRowLastColumn="0" w:lastRowFirstColumn="0" w:lastRowLastColumn="0"/>
            <w:tcW w:w="4675" w:type="dxa"/>
          </w:tcPr>
          <w:p w14:paraId="1C924C86" w14:textId="2FCF6C07" w:rsidR="000C05B6" w:rsidRDefault="0084101F" w:rsidP="000C05B6">
            <w:pPr>
              <w:pStyle w:val="BodyText"/>
              <w:rPr>
                <w:rFonts w:asciiTheme="minorHAnsi" w:hAnsiTheme="minorHAnsi" w:cstheme="minorHAnsi"/>
                <w:sz w:val="22"/>
                <w:szCs w:val="22"/>
              </w:rPr>
            </w:pPr>
            <w:r>
              <w:rPr>
                <w:rFonts w:asciiTheme="minorHAnsi" w:hAnsiTheme="minorHAnsi" w:cstheme="minorHAnsi"/>
                <w:sz w:val="22"/>
                <w:szCs w:val="22"/>
              </w:rPr>
              <w:t xml:space="preserve">Final </w:t>
            </w:r>
          </w:p>
        </w:tc>
        <w:tc>
          <w:tcPr>
            <w:tcW w:w="4675" w:type="dxa"/>
          </w:tcPr>
          <w:p w14:paraId="338E7C49" w14:textId="710BDA13" w:rsidR="000C05B6" w:rsidRDefault="00AE5448" w:rsidP="000C05B6">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4pm Thurs </w:t>
            </w:r>
            <w:r w:rsidR="0084101F">
              <w:rPr>
                <w:rFonts w:asciiTheme="minorHAnsi" w:hAnsiTheme="minorHAnsi" w:cstheme="minorHAnsi"/>
                <w:sz w:val="22"/>
                <w:szCs w:val="22"/>
              </w:rPr>
              <w:t xml:space="preserve">December </w:t>
            </w:r>
            <w:r>
              <w:rPr>
                <w:rFonts w:asciiTheme="minorHAnsi" w:hAnsiTheme="minorHAnsi" w:cstheme="minorHAnsi"/>
                <w:sz w:val="22"/>
                <w:szCs w:val="22"/>
              </w:rPr>
              <w:t>9</w:t>
            </w:r>
          </w:p>
        </w:tc>
      </w:tr>
    </w:tbl>
    <w:p w14:paraId="7B8383AC" w14:textId="7F5F5238" w:rsidR="003E3C25" w:rsidRDefault="003E3C25" w:rsidP="00F21F84">
      <w:pPr>
        <w:pStyle w:val="BodyText"/>
        <w:pBdr>
          <w:bottom w:val="single" w:sz="12" w:space="1" w:color="auto"/>
        </w:pBdr>
        <w:shd w:val="clear" w:color="auto" w:fill="FFFFFF" w:themeFill="background1"/>
        <w:rPr>
          <w:rFonts w:asciiTheme="minorHAnsi" w:hAnsiTheme="minorHAnsi" w:cstheme="minorHAnsi"/>
          <w:sz w:val="22"/>
          <w:szCs w:val="22"/>
        </w:rPr>
      </w:pPr>
    </w:p>
    <w:p w14:paraId="73B1DACA" w14:textId="77777777" w:rsidR="00FD00DD" w:rsidRDefault="00FD00DD" w:rsidP="005E1B78">
      <w:pPr>
        <w:autoSpaceDE w:val="0"/>
        <w:autoSpaceDN w:val="0"/>
        <w:adjustRightInd w:val="0"/>
        <w:spacing w:after="0" w:line="240" w:lineRule="auto"/>
        <w:rPr>
          <w:rFonts w:cstheme="minorHAnsi"/>
          <w:b/>
          <w:bCs/>
          <w:color w:val="0070C0"/>
          <w:sz w:val="28"/>
          <w:szCs w:val="28"/>
        </w:rPr>
      </w:pPr>
    </w:p>
    <w:p w14:paraId="71D1D19E" w14:textId="1C76B2A3" w:rsidR="005E1B78" w:rsidRPr="00DE5D69" w:rsidRDefault="005E1B78" w:rsidP="005E1B78">
      <w:pPr>
        <w:autoSpaceDE w:val="0"/>
        <w:autoSpaceDN w:val="0"/>
        <w:adjustRightInd w:val="0"/>
        <w:spacing w:after="0" w:line="240" w:lineRule="auto"/>
        <w:rPr>
          <w:rFonts w:cstheme="minorHAnsi"/>
          <w:b/>
          <w:bCs/>
          <w:color w:val="000000"/>
        </w:rPr>
      </w:pPr>
      <w:r w:rsidRPr="00500D02">
        <w:rPr>
          <w:rFonts w:cstheme="minorHAnsi"/>
          <w:b/>
          <w:bCs/>
          <w:color w:val="0070C0"/>
          <w:sz w:val="28"/>
          <w:szCs w:val="28"/>
        </w:rPr>
        <w:t>Week-By-Week Schedule</w:t>
      </w:r>
      <w:r w:rsidR="00675C31">
        <w:rPr>
          <w:rFonts w:cstheme="minorHAnsi"/>
          <w:b/>
          <w:bCs/>
          <w:color w:val="0070C0"/>
          <w:sz w:val="28"/>
          <w:szCs w:val="28"/>
        </w:rPr>
        <w:t xml:space="preserve"> and Readings </w:t>
      </w:r>
    </w:p>
    <w:p w14:paraId="1AC1FF2B" w14:textId="1713B38A" w:rsidR="005E1B78" w:rsidRPr="00500D02" w:rsidRDefault="005E1B78" w:rsidP="006B3477">
      <w:pPr>
        <w:pStyle w:val="ListParagraph"/>
        <w:numPr>
          <w:ilvl w:val="0"/>
          <w:numId w:val="9"/>
        </w:numPr>
        <w:autoSpaceDE w:val="0"/>
        <w:autoSpaceDN w:val="0"/>
        <w:adjustRightInd w:val="0"/>
        <w:spacing w:after="0" w:line="240" w:lineRule="auto"/>
        <w:rPr>
          <w:rFonts w:cstheme="minorHAnsi"/>
          <w:b/>
          <w:bCs/>
          <w:color w:val="000000"/>
        </w:rPr>
      </w:pPr>
      <w:r w:rsidRPr="00500D02">
        <w:rPr>
          <w:rFonts w:cstheme="minorHAnsi"/>
          <w:color w:val="000000"/>
        </w:rPr>
        <w:t xml:space="preserve">Go to the </w:t>
      </w:r>
      <w:r w:rsidR="007C4222" w:rsidRPr="00430A21">
        <w:rPr>
          <w:rFonts w:cstheme="minorHAnsi"/>
          <w:b/>
          <w:bCs/>
          <w:color w:val="C00000"/>
        </w:rPr>
        <w:t>Econ 590</w:t>
      </w:r>
      <w:r w:rsidRPr="00430A21">
        <w:rPr>
          <w:rFonts w:cstheme="minorHAnsi"/>
          <w:b/>
          <w:bCs/>
          <w:color w:val="C00000"/>
        </w:rPr>
        <w:t xml:space="preserve"> Sakai course space</w:t>
      </w:r>
      <w:r w:rsidR="0018081F" w:rsidRPr="00430A21">
        <w:rPr>
          <w:rFonts w:cstheme="minorHAnsi"/>
          <w:color w:val="C00000"/>
        </w:rPr>
        <w:t xml:space="preserve"> </w:t>
      </w:r>
      <w:r w:rsidRPr="00500D02">
        <w:rPr>
          <w:rFonts w:cstheme="minorHAnsi"/>
          <w:color w:val="000000"/>
        </w:rPr>
        <w:t>to read the updated course schedule</w:t>
      </w:r>
      <w:r w:rsidR="003B5722" w:rsidRPr="00500D02">
        <w:rPr>
          <w:rFonts w:cstheme="minorHAnsi"/>
          <w:color w:val="000000"/>
        </w:rPr>
        <w:t xml:space="preserve"> and readings</w:t>
      </w:r>
      <w:r w:rsidRPr="00500D02">
        <w:rPr>
          <w:rFonts w:cstheme="minorHAnsi"/>
          <w:color w:val="000000"/>
        </w:rPr>
        <w:t>.</w:t>
      </w:r>
    </w:p>
    <w:p w14:paraId="7DA7536F" w14:textId="7396DC11" w:rsidR="00826185" w:rsidRDefault="00D527C9" w:rsidP="006B3477">
      <w:pPr>
        <w:pStyle w:val="ListParagraph"/>
        <w:numPr>
          <w:ilvl w:val="0"/>
          <w:numId w:val="9"/>
        </w:numPr>
        <w:autoSpaceDE w:val="0"/>
        <w:autoSpaceDN w:val="0"/>
        <w:adjustRightInd w:val="0"/>
        <w:spacing w:after="0" w:line="240" w:lineRule="auto"/>
        <w:rPr>
          <w:rFonts w:cstheme="minorHAnsi"/>
        </w:rPr>
      </w:pPr>
      <w:r>
        <w:rPr>
          <w:rFonts w:cstheme="minorHAnsi"/>
        </w:rPr>
        <w:t xml:space="preserve">A reminder, with a few exceptions (like the first day of class), students are expected to complete readings </w:t>
      </w:r>
      <w:r w:rsidR="00A90830">
        <w:rPr>
          <w:rFonts w:cstheme="minorHAnsi"/>
        </w:rPr>
        <w:t>ahead of class so that we can discuss the readings in class.</w:t>
      </w:r>
      <w:r w:rsidR="002A6468">
        <w:rPr>
          <w:rFonts w:cstheme="minorHAnsi"/>
        </w:rPr>
        <w:t xml:space="preserve"> </w:t>
      </w:r>
    </w:p>
    <w:p w14:paraId="24BE0B6D" w14:textId="5CCD5C83" w:rsidR="00D527C9" w:rsidRPr="00ED11CF" w:rsidRDefault="00613CFB" w:rsidP="00ED11CF">
      <w:pPr>
        <w:pStyle w:val="ListParagraph"/>
        <w:numPr>
          <w:ilvl w:val="0"/>
          <w:numId w:val="9"/>
        </w:numPr>
        <w:autoSpaceDE w:val="0"/>
        <w:autoSpaceDN w:val="0"/>
        <w:adjustRightInd w:val="0"/>
        <w:spacing w:after="0" w:line="240" w:lineRule="auto"/>
        <w:rPr>
          <w:rFonts w:cstheme="minorHAnsi"/>
        </w:rPr>
      </w:pPr>
      <w:r>
        <w:rPr>
          <w:rFonts w:cstheme="minorHAnsi"/>
        </w:rPr>
        <w:t>Listen carefully and pay attention to which readings will be emphasized</w:t>
      </w:r>
      <w:r w:rsidR="00826185">
        <w:rPr>
          <w:rFonts w:cstheme="minorHAnsi"/>
        </w:rPr>
        <w:t xml:space="preserve"> in the next class or two. T</w:t>
      </w:r>
      <w:r>
        <w:rPr>
          <w:rFonts w:cstheme="minorHAnsi"/>
        </w:rPr>
        <w:t xml:space="preserve">he readings </w:t>
      </w:r>
      <w:r w:rsidR="00826185">
        <w:rPr>
          <w:rFonts w:cstheme="minorHAnsi"/>
        </w:rPr>
        <w:t>in the schedule below may include more material than then minimum necessary.</w:t>
      </w:r>
      <w:r w:rsidR="00ED11CF">
        <w:rPr>
          <w:rFonts w:cstheme="minorHAnsi"/>
        </w:rPr>
        <w:t xml:space="preserve"> </w:t>
      </w:r>
      <w:r w:rsidR="00ED11CF">
        <w:rPr>
          <w:rFonts w:cstheme="minorHAnsi"/>
        </w:rPr>
        <w:t>I will endeavor to highlight in yellow which readings were/will be assigned for the following class.</w:t>
      </w:r>
    </w:p>
    <w:p w14:paraId="471401DD" w14:textId="62023621" w:rsidR="005E1B78" w:rsidRPr="00500D02" w:rsidRDefault="00430A21" w:rsidP="006B3477">
      <w:pPr>
        <w:pStyle w:val="ListParagraph"/>
        <w:numPr>
          <w:ilvl w:val="0"/>
          <w:numId w:val="9"/>
        </w:numPr>
        <w:autoSpaceDE w:val="0"/>
        <w:autoSpaceDN w:val="0"/>
        <w:adjustRightInd w:val="0"/>
        <w:spacing w:after="0" w:line="240" w:lineRule="auto"/>
        <w:rPr>
          <w:rFonts w:cstheme="minorHAnsi"/>
        </w:rPr>
      </w:pPr>
      <w:r w:rsidRPr="00430A21">
        <w:rPr>
          <w:rFonts w:cstheme="minorHAnsi"/>
          <w:b/>
          <w:bCs/>
          <w:color w:val="C00000"/>
        </w:rPr>
        <w:t xml:space="preserve">The schedule </w:t>
      </w:r>
      <w:r w:rsidR="00A90830">
        <w:rPr>
          <w:rFonts w:cstheme="minorHAnsi"/>
          <w:b/>
          <w:bCs/>
          <w:color w:val="C00000"/>
        </w:rPr>
        <w:t xml:space="preserve">and readings </w:t>
      </w:r>
      <w:r w:rsidRPr="00430A21">
        <w:rPr>
          <w:rFonts w:cstheme="minorHAnsi"/>
          <w:b/>
          <w:bCs/>
          <w:color w:val="C00000"/>
        </w:rPr>
        <w:t>will change</w:t>
      </w:r>
      <w:r w:rsidR="00A90830">
        <w:rPr>
          <w:rFonts w:cstheme="minorHAnsi"/>
          <w:b/>
          <w:bCs/>
          <w:color w:val="C00000"/>
        </w:rPr>
        <w:t xml:space="preserve"> frequently</w:t>
      </w:r>
      <w:r w:rsidR="002A6468">
        <w:rPr>
          <w:rFonts w:cstheme="minorHAnsi"/>
          <w:b/>
          <w:bCs/>
          <w:color w:val="C00000"/>
        </w:rPr>
        <w:t xml:space="preserve">. </w:t>
      </w:r>
      <w:r w:rsidR="002A6468" w:rsidRPr="002A6468">
        <w:rPr>
          <w:rFonts w:cstheme="minorHAnsi"/>
        </w:rPr>
        <w:t>S</w:t>
      </w:r>
      <w:r w:rsidRPr="002A6468">
        <w:rPr>
          <w:rFonts w:cstheme="minorHAnsi"/>
        </w:rPr>
        <w:t>o</w:t>
      </w:r>
      <w:r w:rsidR="002A6468">
        <w:rPr>
          <w:rFonts w:cstheme="minorHAnsi"/>
        </w:rPr>
        <w:t>,</w:t>
      </w:r>
      <w:r w:rsidRPr="002A6468">
        <w:rPr>
          <w:rFonts w:cstheme="minorHAnsi"/>
        </w:rPr>
        <w:t xml:space="preserve"> check </w:t>
      </w:r>
      <w:r w:rsidR="00A90830" w:rsidRPr="002A6468">
        <w:rPr>
          <w:rFonts w:cstheme="minorHAnsi"/>
        </w:rPr>
        <w:t xml:space="preserve">Sakai </w:t>
      </w:r>
      <w:r w:rsidR="0046409E">
        <w:rPr>
          <w:rFonts w:cstheme="minorHAnsi"/>
        </w:rPr>
        <w:t>after every class</w:t>
      </w:r>
      <w:r w:rsidRPr="002A6468">
        <w:rPr>
          <w:rFonts w:cstheme="minorHAnsi"/>
        </w:rPr>
        <w:t>.</w:t>
      </w:r>
    </w:p>
    <w:p w14:paraId="7E8573EF" w14:textId="4290765F" w:rsidR="005E1B78" w:rsidRPr="00733BA3" w:rsidRDefault="00894C44" w:rsidP="006B3477">
      <w:pPr>
        <w:pStyle w:val="ListParagraph"/>
        <w:numPr>
          <w:ilvl w:val="0"/>
          <w:numId w:val="9"/>
        </w:numPr>
        <w:autoSpaceDE w:val="0"/>
        <w:autoSpaceDN w:val="0"/>
        <w:adjustRightInd w:val="0"/>
        <w:spacing w:after="0" w:line="240" w:lineRule="auto"/>
        <w:rPr>
          <w:rFonts w:cstheme="minorHAnsi"/>
          <w:b/>
          <w:bCs/>
          <w:color w:val="B32222"/>
        </w:rPr>
      </w:pPr>
      <w:r w:rsidRPr="00500D02">
        <w:rPr>
          <w:rFonts w:cstheme="minorHAnsi"/>
        </w:rPr>
        <w:t>C</w:t>
      </w:r>
      <w:r w:rsidR="005E1B78" w:rsidRPr="00500D02">
        <w:rPr>
          <w:rFonts w:cstheme="minorHAnsi"/>
          <w:color w:val="000000"/>
        </w:rPr>
        <w:t xml:space="preserve">ourse schedule </w:t>
      </w:r>
      <w:r w:rsidR="003B5722" w:rsidRPr="00500D02">
        <w:rPr>
          <w:rFonts w:cstheme="minorHAnsi"/>
          <w:color w:val="000000"/>
        </w:rPr>
        <w:t xml:space="preserve">and readings </w:t>
      </w:r>
      <w:r w:rsidRPr="00500D02">
        <w:rPr>
          <w:rFonts w:cstheme="minorHAnsi"/>
          <w:color w:val="000000"/>
        </w:rPr>
        <w:t xml:space="preserve">will </w:t>
      </w:r>
      <w:r w:rsidR="005E1B78" w:rsidRPr="00500D02">
        <w:rPr>
          <w:rFonts w:cstheme="minorHAnsi"/>
          <w:color w:val="000000"/>
        </w:rPr>
        <w:t>change as the</w:t>
      </w:r>
      <w:r w:rsidRPr="00500D02">
        <w:rPr>
          <w:rFonts w:cstheme="minorHAnsi"/>
          <w:color w:val="000000"/>
        </w:rPr>
        <w:t xml:space="preserve"> </w:t>
      </w:r>
      <w:r w:rsidR="005E1B78" w:rsidRPr="00500D02">
        <w:rPr>
          <w:rFonts w:cstheme="minorHAnsi"/>
          <w:color w:val="000000"/>
        </w:rPr>
        <w:t xml:space="preserve">semester evolves </w:t>
      </w:r>
      <w:r w:rsidR="005E1B78" w:rsidRPr="00500D02">
        <w:rPr>
          <w:rFonts w:cstheme="minorHAnsi"/>
          <w:b/>
          <w:bCs/>
          <w:color w:val="B32222"/>
        </w:rPr>
        <w:t>to create the best</w:t>
      </w:r>
      <w:r w:rsidR="00500D02">
        <w:rPr>
          <w:rFonts w:cstheme="minorHAnsi"/>
          <w:b/>
          <w:bCs/>
          <w:color w:val="B32222"/>
        </w:rPr>
        <w:t xml:space="preserve"> </w:t>
      </w:r>
      <w:r w:rsidR="005E1B78" w:rsidRPr="00500D02">
        <w:rPr>
          <w:rFonts w:cstheme="minorHAnsi"/>
          <w:b/>
          <w:bCs/>
          <w:color w:val="B32222"/>
        </w:rPr>
        <w:t>learning environment for you</w:t>
      </w:r>
      <w:r w:rsidR="005E1B78" w:rsidRPr="00500D02">
        <w:rPr>
          <w:rFonts w:cstheme="minorHAnsi"/>
          <w:color w:val="000000"/>
        </w:rPr>
        <w:t>.</w:t>
      </w:r>
    </w:p>
    <w:p w14:paraId="3B19FB52" w14:textId="1F2FA5FD" w:rsidR="00733BA3" w:rsidRPr="009F4F50" w:rsidRDefault="00733BA3" w:rsidP="006B3477">
      <w:pPr>
        <w:pStyle w:val="ListParagraph"/>
        <w:numPr>
          <w:ilvl w:val="0"/>
          <w:numId w:val="9"/>
        </w:numPr>
        <w:autoSpaceDE w:val="0"/>
        <w:autoSpaceDN w:val="0"/>
        <w:adjustRightInd w:val="0"/>
        <w:spacing w:after="0" w:line="240" w:lineRule="auto"/>
        <w:rPr>
          <w:rFonts w:cstheme="minorHAnsi"/>
          <w:b/>
          <w:bCs/>
          <w:color w:val="B32222"/>
        </w:rPr>
      </w:pPr>
      <w:r>
        <w:rPr>
          <w:rFonts w:cstheme="minorHAnsi"/>
          <w:color w:val="000000"/>
        </w:rPr>
        <w:t>The schedule includes two flex classes</w:t>
      </w:r>
      <w:r w:rsidR="00BF3919">
        <w:rPr>
          <w:rFonts w:cstheme="minorHAnsi"/>
          <w:color w:val="000000"/>
        </w:rPr>
        <w:t xml:space="preserve"> </w:t>
      </w:r>
      <w:r w:rsidR="00F70D2A">
        <w:rPr>
          <w:rFonts w:cstheme="minorHAnsi"/>
          <w:color w:val="000000"/>
        </w:rPr>
        <w:t xml:space="preserve">where the material may depend on our needs at that time. </w:t>
      </w:r>
      <w:r w:rsidR="00190C02">
        <w:rPr>
          <w:rFonts w:cstheme="minorHAnsi"/>
          <w:color w:val="000000"/>
        </w:rPr>
        <w:t>During these classes, w</w:t>
      </w:r>
      <w:r w:rsidR="00F70D2A">
        <w:rPr>
          <w:rFonts w:cstheme="minorHAnsi"/>
          <w:color w:val="000000"/>
        </w:rPr>
        <w:t xml:space="preserve">e may need to review </w:t>
      </w:r>
      <w:r w:rsidR="00190C02">
        <w:rPr>
          <w:rFonts w:cstheme="minorHAnsi"/>
          <w:color w:val="000000"/>
        </w:rPr>
        <w:t xml:space="preserve">or complement </w:t>
      </w:r>
      <w:r w:rsidR="00F70D2A">
        <w:rPr>
          <w:rFonts w:cstheme="minorHAnsi"/>
          <w:color w:val="000000"/>
        </w:rPr>
        <w:t>previous material</w:t>
      </w:r>
      <w:r w:rsidR="00190C02">
        <w:rPr>
          <w:rFonts w:cstheme="minorHAnsi"/>
          <w:color w:val="000000"/>
        </w:rPr>
        <w:t xml:space="preserve"> or decide to complement material with additional learnings.</w:t>
      </w:r>
    </w:p>
    <w:p w14:paraId="01FFA7DE" w14:textId="4851567F" w:rsidR="009F4F50" w:rsidRPr="00626C2D" w:rsidRDefault="00A53394" w:rsidP="006B3477">
      <w:pPr>
        <w:pStyle w:val="ListParagraph"/>
        <w:numPr>
          <w:ilvl w:val="0"/>
          <w:numId w:val="9"/>
        </w:numPr>
        <w:autoSpaceDE w:val="0"/>
        <w:autoSpaceDN w:val="0"/>
        <w:adjustRightInd w:val="0"/>
        <w:spacing w:after="0" w:line="240" w:lineRule="auto"/>
        <w:rPr>
          <w:rFonts w:cstheme="minorHAnsi"/>
          <w:color w:val="000000"/>
        </w:rPr>
      </w:pPr>
      <w:r w:rsidRPr="00626C2D">
        <w:rPr>
          <w:rFonts w:cstheme="minorHAnsi"/>
          <w:b/>
          <w:bCs/>
          <w:color w:val="C00000"/>
        </w:rPr>
        <w:t>Some</w:t>
      </w:r>
      <w:r w:rsidR="009F4F50" w:rsidRPr="00626C2D">
        <w:rPr>
          <w:rFonts w:cstheme="minorHAnsi"/>
          <w:b/>
          <w:bCs/>
          <w:color w:val="C00000"/>
        </w:rPr>
        <w:t xml:space="preserve"> readings can be difficult and technical.</w:t>
      </w:r>
      <w:r w:rsidR="009F4F50">
        <w:rPr>
          <w:rFonts w:cstheme="minorHAnsi"/>
          <w:color w:val="000000"/>
        </w:rPr>
        <w:t xml:space="preserve"> </w:t>
      </w:r>
      <w:r w:rsidR="006C4FF2">
        <w:rPr>
          <w:rFonts w:cstheme="minorHAnsi"/>
          <w:color w:val="000000"/>
        </w:rPr>
        <w:t xml:space="preserve">Some readings </w:t>
      </w:r>
      <w:r w:rsidR="009F4F50">
        <w:rPr>
          <w:rFonts w:cstheme="minorHAnsi"/>
          <w:color w:val="000000"/>
        </w:rPr>
        <w:t>are intended to stretch you</w:t>
      </w:r>
      <w:r w:rsidR="006C4FF2">
        <w:rPr>
          <w:rFonts w:cstheme="minorHAnsi"/>
          <w:color w:val="000000"/>
        </w:rPr>
        <w:t xml:space="preserve">r ability to comprehend something </w:t>
      </w:r>
      <w:r w:rsidR="00C903AC">
        <w:rPr>
          <w:rFonts w:cstheme="minorHAnsi"/>
          <w:color w:val="000000"/>
        </w:rPr>
        <w:t xml:space="preserve">in which </w:t>
      </w:r>
      <w:r w:rsidR="006C4FF2">
        <w:rPr>
          <w:rFonts w:cstheme="minorHAnsi"/>
          <w:color w:val="000000"/>
        </w:rPr>
        <w:t xml:space="preserve">the detail is a level or so above </w:t>
      </w:r>
      <w:proofErr w:type="gramStart"/>
      <w:r w:rsidR="006C4FF2">
        <w:rPr>
          <w:rFonts w:cstheme="minorHAnsi"/>
          <w:color w:val="000000"/>
        </w:rPr>
        <w:t>your</w:t>
      </w:r>
      <w:proofErr w:type="gramEnd"/>
      <w:r w:rsidR="006C4FF2">
        <w:rPr>
          <w:rFonts w:cstheme="minorHAnsi"/>
          <w:color w:val="000000"/>
        </w:rPr>
        <w:t xml:space="preserve"> training.</w:t>
      </w:r>
      <w:r w:rsidR="004E644D">
        <w:rPr>
          <w:rFonts w:cstheme="minorHAnsi"/>
          <w:color w:val="000000"/>
        </w:rPr>
        <w:t xml:space="preserve"> You will see </w:t>
      </w:r>
      <w:r w:rsidR="004E644D">
        <w:rPr>
          <w:rFonts w:cstheme="minorHAnsi"/>
          <w:color w:val="000000"/>
        </w:rPr>
        <w:lastRenderedPageBreak/>
        <w:t>the warning “</w:t>
      </w:r>
      <w:r w:rsidR="004E644D" w:rsidRPr="004E644D">
        <w:rPr>
          <w:rFonts w:cstheme="minorHAnsi"/>
          <w:color w:val="000000"/>
        </w:rPr>
        <w:t>TTA!</w:t>
      </w:r>
      <w:r w:rsidR="004E644D">
        <w:rPr>
          <w:rFonts w:cstheme="minorHAnsi"/>
          <w:color w:val="000000"/>
        </w:rPr>
        <w:t>”</w:t>
      </w:r>
      <w:r w:rsidR="004E644D" w:rsidRPr="004E644D">
        <w:rPr>
          <w:rFonts w:cstheme="minorHAnsi"/>
          <w:color w:val="000000"/>
        </w:rPr>
        <w:t xml:space="preserve"> </w:t>
      </w:r>
      <w:r w:rsidR="004E644D">
        <w:rPr>
          <w:rFonts w:cstheme="minorHAnsi"/>
          <w:color w:val="000000"/>
        </w:rPr>
        <w:t xml:space="preserve">on some readings. This is a </w:t>
      </w:r>
      <w:r w:rsidR="004E644D" w:rsidRPr="004E644D">
        <w:rPr>
          <w:rFonts w:cstheme="minorHAnsi"/>
          <w:color w:val="000000"/>
        </w:rPr>
        <w:t xml:space="preserve">Technical </w:t>
      </w:r>
      <w:r w:rsidR="004E644D">
        <w:rPr>
          <w:rFonts w:cstheme="minorHAnsi"/>
          <w:color w:val="000000"/>
        </w:rPr>
        <w:t>T</w:t>
      </w:r>
      <w:r w:rsidR="004E644D" w:rsidRPr="004E644D">
        <w:rPr>
          <w:rFonts w:cstheme="minorHAnsi"/>
          <w:color w:val="000000"/>
        </w:rPr>
        <w:t xml:space="preserve">erminology </w:t>
      </w:r>
      <w:r w:rsidR="004E644D">
        <w:rPr>
          <w:rFonts w:cstheme="minorHAnsi"/>
          <w:color w:val="000000"/>
        </w:rPr>
        <w:t>A</w:t>
      </w:r>
      <w:r w:rsidR="004E644D" w:rsidRPr="004E644D">
        <w:rPr>
          <w:rFonts w:cstheme="minorHAnsi"/>
          <w:color w:val="000000"/>
        </w:rPr>
        <w:t>lert</w:t>
      </w:r>
      <w:r w:rsidR="004E644D">
        <w:rPr>
          <w:rFonts w:cstheme="minorHAnsi"/>
          <w:color w:val="000000"/>
        </w:rPr>
        <w:t>.</w:t>
      </w:r>
      <w:r w:rsidR="004E644D" w:rsidRPr="004E644D">
        <w:rPr>
          <w:rFonts w:cstheme="minorHAnsi"/>
          <w:color w:val="000000"/>
        </w:rPr>
        <w:t xml:space="preserve"> The math or language may be challenging. See how far you can get with </w:t>
      </w:r>
      <w:r>
        <w:rPr>
          <w:rFonts w:cstheme="minorHAnsi"/>
          <w:color w:val="000000"/>
        </w:rPr>
        <w:t>the detail</w:t>
      </w:r>
      <w:r w:rsidR="004E644D" w:rsidRPr="004E644D">
        <w:rPr>
          <w:rFonts w:cstheme="minorHAnsi"/>
          <w:color w:val="000000"/>
        </w:rPr>
        <w:t xml:space="preserve">, </w:t>
      </w:r>
      <w:r w:rsidR="004E644D" w:rsidRPr="00626C2D">
        <w:rPr>
          <w:rFonts w:cstheme="minorHAnsi"/>
          <w:color w:val="000000"/>
        </w:rPr>
        <w:t>but don’t get bogged down</w:t>
      </w:r>
      <w:r w:rsidR="004E644D" w:rsidRPr="004E644D">
        <w:rPr>
          <w:rFonts w:cstheme="minorHAnsi"/>
          <w:color w:val="000000"/>
        </w:rPr>
        <w:t>.</w:t>
      </w:r>
    </w:p>
    <w:p w14:paraId="6271C0AA" w14:textId="462FFFBC" w:rsidR="00AF05C4" w:rsidRPr="00430A21" w:rsidRDefault="00506D88" w:rsidP="00506D88">
      <w:pPr>
        <w:spacing w:before="120" w:after="0"/>
        <w:rPr>
          <w:rFonts w:cstheme="minorHAnsi"/>
          <w:b/>
          <w:bCs/>
          <w:color w:val="C00000"/>
        </w:rPr>
      </w:pPr>
      <w:r>
        <w:rPr>
          <w:rFonts w:cstheme="minorHAnsi"/>
          <w:b/>
          <w:bCs/>
          <w:color w:val="C00000"/>
        </w:rPr>
        <w:t xml:space="preserve">Econ 590 </w:t>
      </w:r>
      <w:r w:rsidR="00CD32F9" w:rsidRPr="00430A21">
        <w:rPr>
          <w:rFonts w:cstheme="minorHAnsi"/>
          <w:b/>
          <w:bCs/>
          <w:color w:val="C00000"/>
        </w:rPr>
        <w:t xml:space="preserve">Schedule </w:t>
      </w:r>
      <w:r w:rsidR="006D2706">
        <w:rPr>
          <w:rFonts w:cstheme="minorHAnsi"/>
          <w:b/>
          <w:bCs/>
          <w:color w:val="C00000"/>
        </w:rPr>
        <w:t xml:space="preserve">(As </w:t>
      </w:r>
      <w:r w:rsidR="00150303">
        <w:rPr>
          <w:rFonts w:cstheme="minorHAnsi"/>
          <w:b/>
          <w:bCs/>
          <w:color w:val="C00000"/>
        </w:rPr>
        <w:t xml:space="preserve">of August </w:t>
      </w:r>
      <w:r w:rsidR="00832358">
        <w:rPr>
          <w:rFonts w:cstheme="minorHAnsi"/>
          <w:b/>
          <w:bCs/>
          <w:color w:val="C00000"/>
        </w:rPr>
        <w:t>23</w:t>
      </w:r>
      <w:r w:rsidR="00D527C9">
        <w:rPr>
          <w:rFonts w:cstheme="minorHAnsi"/>
          <w:b/>
          <w:bCs/>
          <w:color w:val="C00000"/>
        </w:rPr>
        <w:t>, 2021)</w:t>
      </w:r>
    </w:p>
    <w:tbl>
      <w:tblPr>
        <w:tblStyle w:val="GridTable4-Accent3"/>
        <w:tblW w:w="9625" w:type="dxa"/>
        <w:tblLayout w:type="fixed"/>
        <w:tblLook w:val="04A0" w:firstRow="1" w:lastRow="0" w:firstColumn="1" w:lastColumn="0" w:noHBand="0" w:noVBand="1"/>
      </w:tblPr>
      <w:tblGrid>
        <w:gridCol w:w="445"/>
        <w:gridCol w:w="1710"/>
        <w:gridCol w:w="2070"/>
        <w:gridCol w:w="2250"/>
        <w:gridCol w:w="3150"/>
      </w:tblGrid>
      <w:tr w:rsidR="007F30B6" w:rsidRPr="00DE5D69" w14:paraId="51894C98" w14:textId="77777777" w:rsidTr="00A325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 w:type="dxa"/>
          </w:tcPr>
          <w:p w14:paraId="06E42063" w14:textId="54BC5C8B" w:rsidR="007F30B6" w:rsidRPr="00DE5D69" w:rsidRDefault="007F30B6">
            <w:pPr>
              <w:rPr>
                <w:rFonts w:cstheme="minorHAnsi"/>
              </w:rPr>
            </w:pPr>
          </w:p>
        </w:tc>
        <w:tc>
          <w:tcPr>
            <w:tcW w:w="1710" w:type="dxa"/>
          </w:tcPr>
          <w:p w14:paraId="6A69F8A2" w14:textId="3E1A23D3" w:rsidR="007F30B6" w:rsidRPr="00DE5D69" w:rsidRDefault="007F30B6">
            <w:pPr>
              <w:cnfStyle w:val="100000000000" w:firstRow="1" w:lastRow="0" w:firstColumn="0" w:lastColumn="0" w:oddVBand="0" w:evenVBand="0" w:oddHBand="0" w:evenHBand="0" w:firstRowFirstColumn="0" w:firstRowLastColumn="0" w:lastRowFirstColumn="0" w:lastRowLastColumn="0"/>
              <w:rPr>
                <w:rFonts w:cstheme="minorHAnsi"/>
              </w:rPr>
            </w:pPr>
            <w:r w:rsidRPr="00DE5D69">
              <w:rPr>
                <w:rFonts w:cstheme="minorHAnsi"/>
              </w:rPr>
              <w:t xml:space="preserve">Week Beginning </w:t>
            </w:r>
          </w:p>
        </w:tc>
        <w:tc>
          <w:tcPr>
            <w:tcW w:w="2070" w:type="dxa"/>
          </w:tcPr>
          <w:p w14:paraId="729FF670" w14:textId="78AF93D5" w:rsidR="007F30B6" w:rsidRPr="00DE5D69" w:rsidRDefault="000D0342">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Reading</w:t>
            </w:r>
            <w:r w:rsidR="00B463C0">
              <w:rPr>
                <w:rFonts w:cstheme="minorHAnsi"/>
              </w:rPr>
              <w:t>s</w:t>
            </w:r>
          </w:p>
        </w:tc>
        <w:tc>
          <w:tcPr>
            <w:tcW w:w="2250" w:type="dxa"/>
          </w:tcPr>
          <w:p w14:paraId="1A91B243" w14:textId="7613DA05" w:rsidR="007F30B6" w:rsidRPr="00DE5D69" w:rsidRDefault="007F30B6">
            <w:pPr>
              <w:cnfStyle w:val="100000000000" w:firstRow="1" w:lastRow="0" w:firstColumn="0" w:lastColumn="0" w:oddVBand="0" w:evenVBand="0" w:oddHBand="0" w:evenHBand="0" w:firstRowFirstColumn="0" w:firstRowLastColumn="0" w:lastRowFirstColumn="0" w:lastRowLastColumn="0"/>
              <w:rPr>
                <w:rFonts w:cstheme="minorHAnsi"/>
              </w:rPr>
            </w:pPr>
            <w:r w:rsidRPr="00DE5D69">
              <w:rPr>
                <w:rFonts w:cstheme="minorHAnsi"/>
              </w:rPr>
              <w:t>Mon</w:t>
            </w:r>
          </w:p>
        </w:tc>
        <w:tc>
          <w:tcPr>
            <w:tcW w:w="3150" w:type="dxa"/>
          </w:tcPr>
          <w:p w14:paraId="7E745FBA" w14:textId="31B332AB" w:rsidR="007F30B6" w:rsidRPr="00DE5D69" w:rsidRDefault="007F30B6">
            <w:pPr>
              <w:cnfStyle w:val="100000000000" w:firstRow="1" w:lastRow="0" w:firstColumn="0" w:lastColumn="0" w:oddVBand="0" w:evenVBand="0" w:oddHBand="0" w:evenHBand="0" w:firstRowFirstColumn="0" w:firstRowLastColumn="0" w:lastRowFirstColumn="0" w:lastRowLastColumn="0"/>
              <w:rPr>
                <w:rFonts w:cstheme="minorHAnsi"/>
              </w:rPr>
            </w:pPr>
            <w:r w:rsidRPr="00DE5D69">
              <w:rPr>
                <w:rFonts w:cstheme="minorHAnsi"/>
              </w:rPr>
              <w:t>Weds</w:t>
            </w:r>
          </w:p>
        </w:tc>
      </w:tr>
      <w:tr w:rsidR="007F30B6" w:rsidRPr="00DE5D69" w14:paraId="12428758" w14:textId="77777777" w:rsidTr="0067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771D2D8" w14:textId="0E0423F4" w:rsidR="007F30B6" w:rsidRPr="00DE5D69" w:rsidRDefault="007F30B6">
            <w:pPr>
              <w:rPr>
                <w:rFonts w:cstheme="minorHAnsi"/>
              </w:rPr>
            </w:pPr>
            <w:r w:rsidRPr="00DE5D69">
              <w:rPr>
                <w:rFonts w:cstheme="minorHAnsi"/>
              </w:rPr>
              <w:t>1</w:t>
            </w:r>
          </w:p>
        </w:tc>
        <w:tc>
          <w:tcPr>
            <w:tcW w:w="1710" w:type="dxa"/>
          </w:tcPr>
          <w:p w14:paraId="1B4C3DF6" w14:textId="7E24DE51" w:rsidR="007F30B6" w:rsidRPr="00DE5D69" w:rsidRDefault="007F30B6">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August 16</w:t>
            </w:r>
          </w:p>
        </w:tc>
        <w:tc>
          <w:tcPr>
            <w:tcW w:w="2070" w:type="dxa"/>
          </w:tcPr>
          <w:p w14:paraId="00126B2B" w14:textId="6D3348A8" w:rsidR="007F30B6" w:rsidRPr="00DE5D69" w:rsidRDefault="007F30B6">
            <w:pPr>
              <w:cnfStyle w:val="000000100000" w:firstRow="0" w:lastRow="0" w:firstColumn="0" w:lastColumn="0" w:oddVBand="0" w:evenVBand="0" w:oddHBand="1" w:evenHBand="0" w:firstRowFirstColumn="0" w:firstRowLastColumn="0" w:lastRowFirstColumn="0" w:lastRowLastColumn="0"/>
              <w:rPr>
                <w:rFonts w:cstheme="minorHAnsi"/>
              </w:rPr>
            </w:pPr>
          </w:p>
        </w:tc>
        <w:tc>
          <w:tcPr>
            <w:tcW w:w="2250" w:type="dxa"/>
          </w:tcPr>
          <w:p w14:paraId="0C9C367D" w14:textId="4647FF7F" w:rsidR="007F30B6" w:rsidRPr="00DE5D69" w:rsidRDefault="007F30B6">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w:t>
            </w:r>
          </w:p>
        </w:tc>
        <w:tc>
          <w:tcPr>
            <w:tcW w:w="3150" w:type="dxa"/>
          </w:tcPr>
          <w:p w14:paraId="56F1B891" w14:textId="3A89A3C8" w:rsidR="007F30B6" w:rsidRPr="00DE5D69" w:rsidRDefault="00E5282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noProof/>
              </w:rPr>
              <w:drawing>
                <wp:anchor distT="0" distB="0" distL="114300" distR="114300" simplePos="0" relativeHeight="251659264" behindDoc="0" locked="0" layoutInCell="1" allowOverlap="1" wp14:anchorId="3D325E67" wp14:editId="7AF2F34D">
                  <wp:simplePos x="0" y="0"/>
                  <wp:positionH relativeFrom="column">
                    <wp:posOffset>696933</wp:posOffset>
                  </wp:positionH>
                  <wp:positionV relativeFrom="paragraph">
                    <wp:posOffset>224790</wp:posOffset>
                  </wp:positionV>
                  <wp:extent cx="546100" cy="546100"/>
                  <wp:effectExtent l="0" t="0" r="0" b="6350"/>
                  <wp:wrapSquare wrapText="bothSides"/>
                  <wp:docPr id="3" name="Graphic 3" descr="Man with bab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n with baby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r w:rsidR="007F30B6" w:rsidRPr="00DE5D69">
              <w:rPr>
                <w:rFonts w:cstheme="minorHAnsi"/>
              </w:rPr>
              <w:t>Life and death: the demand for health</w:t>
            </w:r>
          </w:p>
        </w:tc>
      </w:tr>
      <w:tr w:rsidR="007F30B6" w:rsidRPr="00DE5D69" w14:paraId="53C4A2C5" w14:textId="77777777" w:rsidTr="00674F31">
        <w:tc>
          <w:tcPr>
            <w:cnfStyle w:val="001000000000" w:firstRow="0" w:lastRow="0" w:firstColumn="1" w:lastColumn="0" w:oddVBand="0" w:evenVBand="0" w:oddHBand="0" w:evenHBand="0" w:firstRowFirstColumn="0" w:firstRowLastColumn="0" w:lastRowFirstColumn="0" w:lastRowLastColumn="0"/>
            <w:tcW w:w="445" w:type="dxa"/>
          </w:tcPr>
          <w:p w14:paraId="2ED9CCEF" w14:textId="4FE3F7D2" w:rsidR="007F30B6" w:rsidRPr="00DE5D69" w:rsidRDefault="007F30B6">
            <w:pPr>
              <w:rPr>
                <w:rFonts w:cstheme="minorHAnsi"/>
              </w:rPr>
            </w:pPr>
            <w:r w:rsidRPr="00DE5D69">
              <w:rPr>
                <w:rFonts w:cstheme="minorHAnsi"/>
              </w:rPr>
              <w:t>2</w:t>
            </w:r>
          </w:p>
        </w:tc>
        <w:tc>
          <w:tcPr>
            <w:tcW w:w="1710" w:type="dxa"/>
          </w:tcPr>
          <w:p w14:paraId="1D4EE754" w14:textId="6ED65077" w:rsidR="007F30B6" w:rsidRPr="00DE5D69" w:rsidRDefault="007F30B6">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August 23</w:t>
            </w:r>
          </w:p>
        </w:tc>
        <w:tc>
          <w:tcPr>
            <w:tcW w:w="2070" w:type="dxa"/>
          </w:tcPr>
          <w:p w14:paraId="465C74B8" w14:textId="010C9EE3" w:rsidR="007F30B6" w:rsidRPr="00397CBB" w:rsidRDefault="004A7595">
            <w:pPr>
              <w:cnfStyle w:val="000000000000" w:firstRow="0" w:lastRow="0" w:firstColumn="0" w:lastColumn="0" w:oddVBand="0" w:evenVBand="0" w:oddHBand="0" w:evenHBand="0" w:firstRowFirstColumn="0" w:firstRowLastColumn="0" w:lastRowFirstColumn="0" w:lastRowLastColumn="0"/>
              <w:rPr>
                <w:rFonts w:cstheme="minorHAnsi"/>
              </w:rPr>
            </w:pPr>
            <w:r w:rsidRPr="00397CBB">
              <w:rPr>
                <w:rFonts w:cstheme="minorHAnsi"/>
              </w:rPr>
              <w:t>Case et al.</w:t>
            </w:r>
            <w:r w:rsidR="005E1C9F" w:rsidRPr="00397CBB">
              <w:rPr>
                <w:rFonts w:cstheme="minorHAnsi"/>
              </w:rPr>
              <w:t xml:space="preserve">, </w:t>
            </w:r>
            <w:proofErr w:type="gramStart"/>
            <w:r w:rsidRPr="00397CBB">
              <w:rPr>
                <w:rFonts w:cstheme="minorHAnsi"/>
              </w:rPr>
              <w:t>2017</w:t>
            </w:r>
            <w:r w:rsidR="005E1C9F" w:rsidRPr="00397CBB">
              <w:rPr>
                <w:rFonts w:cstheme="minorHAnsi"/>
              </w:rPr>
              <w:t xml:space="preserve">; </w:t>
            </w:r>
            <w:r w:rsidRPr="00397CBB">
              <w:rPr>
                <w:rFonts w:cstheme="minorHAnsi"/>
              </w:rPr>
              <w:t xml:space="preserve"> </w:t>
            </w:r>
            <w:r w:rsidR="0068325B" w:rsidRPr="00716AF4">
              <w:rPr>
                <w:rFonts w:cstheme="minorHAnsi"/>
                <w:highlight w:val="yellow"/>
              </w:rPr>
              <w:t>CDC</w:t>
            </w:r>
            <w:proofErr w:type="gramEnd"/>
            <w:r w:rsidR="0068325B" w:rsidRPr="00716AF4">
              <w:rPr>
                <w:rFonts w:cstheme="minorHAnsi"/>
                <w:highlight w:val="yellow"/>
              </w:rPr>
              <w:t>, 2019</w:t>
            </w:r>
            <w:r w:rsidR="0068325B" w:rsidRPr="00397CBB">
              <w:rPr>
                <w:rFonts w:cstheme="minorHAnsi"/>
              </w:rPr>
              <w:t xml:space="preserve">; </w:t>
            </w:r>
            <w:r w:rsidRPr="00716AF4">
              <w:rPr>
                <w:rFonts w:cstheme="minorHAnsi"/>
                <w:highlight w:val="yellow"/>
              </w:rPr>
              <w:t>Cutler et al.</w:t>
            </w:r>
            <w:r w:rsidR="005E1C9F" w:rsidRPr="00716AF4">
              <w:rPr>
                <w:rFonts w:cstheme="minorHAnsi"/>
                <w:highlight w:val="yellow"/>
              </w:rPr>
              <w:t xml:space="preserve">, </w:t>
            </w:r>
            <w:r w:rsidRPr="00716AF4">
              <w:rPr>
                <w:rFonts w:cstheme="minorHAnsi"/>
                <w:highlight w:val="yellow"/>
              </w:rPr>
              <w:t>2006</w:t>
            </w:r>
            <w:r w:rsidR="00323ADF" w:rsidRPr="00716AF4">
              <w:rPr>
                <w:rFonts w:cstheme="minorHAnsi"/>
                <w:highlight w:val="yellow"/>
              </w:rPr>
              <w:t>;</w:t>
            </w:r>
            <w:r w:rsidR="00323ADF" w:rsidRPr="00397CBB">
              <w:rPr>
                <w:rFonts w:cstheme="minorHAnsi"/>
              </w:rPr>
              <w:t xml:space="preserve"> </w:t>
            </w:r>
            <w:r w:rsidR="00397CBB" w:rsidRPr="00397CBB">
              <w:rPr>
                <w:rFonts w:cstheme="minorHAnsi"/>
              </w:rPr>
              <w:t>Finkelstein et al</w:t>
            </w:r>
            <w:r w:rsidR="00397CBB">
              <w:rPr>
                <w:rFonts w:cstheme="minorHAnsi"/>
              </w:rPr>
              <w:t xml:space="preserve">.,2012; </w:t>
            </w:r>
            <w:r w:rsidR="00323ADF" w:rsidRPr="00397CBB">
              <w:rPr>
                <w:rFonts w:cstheme="minorHAnsi"/>
              </w:rPr>
              <w:t>Jayachandran et al., 2010</w:t>
            </w:r>
            <w:r w:rsidR="0005282F">
              <w:rPr>
                <w:rFonts w:cstheme="minorHAnsi"/>
              </w:rPr>
              <w:t>; Kleiner, 2000</w:t>
            </w:r>
            <w:r w:rsidR="00086917">
              <w:rPr>
                <w:rFonts w:cstheme="minorHAnsi"/>
              </w:rPr>
              <w:t>;</w:t>
            </w:r>
            <w:r w:rsidR="00B96F0F">
              <w:rPr>
                <w:rFonts w:cstheme="minorHAnsi"/>
              </w:rPr>
              <w:t xml:space="preserve"> </w:t>
            </w:r>
            <w:r w:rsidR="00250D08" w:rsidRPr="00C95657">
              <w:rPr>
                <w:rFonts w:cstheme="minorHAnsi"/>
                <w:highlight w:val="yellow"/>
              </w:rPr>
              <w:t xml:space="preserve">Kravitz, 2014; </w:t>
            </w:r>
            <w:proofErr w:type="spellStart"/>
            <w:r w:rsidR="00250D08" w:rsidRPr="00C95657">
              <w:rPr>
                <w:rFonts w:cstheme="minorHAnsi"/>
                <w:highlight w:val="yellow"/>
              </w:rPr>
              <w:t>Stange</w:t>
            </w:r>
            <w:proofErr w:type="spellEnd"/>
            <w:r w:rsidR="00250D08" w:rsidRPr="00C95657">
              <w:rPr>
                <w:rFonts w:cstheme="minorHAnsi"/>
                <w:highlight w:val="yellow"/>
              </w:rPr>
              <w:t>, 2014;</w:t>
            </w:r>
            <w:r w:rsidR="00086917">
              <w:rPr>
                <w:rFonts w:cstheme="minorHAnsi"/>
              </w:rPr>
              <w:t xml:space="preserve"> Timmons, 2017</w:t>
            </w:r>
            <w:r w:rsidR="00CE03F6">
              <w:rPr>
                <w:rFonts w:cstheme="minorHAnsi"/>
              </w:rPr>
              <w:t xml:space="preserve">; </w:t>
            </w:r>
            <w:r w:rsidR="00250D08" w:rsidRPr="00C95657">
              <w:rPr>
                <w:rFonts w:cstheme="minorHAnsi"/>
                <w:highlight w:val="yellow"/>
              </w:rPr>
              <w:t>Vaughn et al., 2010</w:t>
            </w:r>
          </w:p>
        </w:tc>
        <w:tc>
          <w:tcPr>
            <w:tcW w:w="2250" w:type="dxa"/>
          </w:tcPr>
          <w:p w14:paraId="42EDB7F4" w14:textId="23F84179" w:rsidR="007F30B6" w:rsidRDefault="007F30B6">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Life and death: the demand for health</w:t>
            </w:r>
          </w:p>
          <w:p w14:paraId="278E6E51" w14:textId="151B7777" w:rsidR="00F56269" w:rsidRPr="00DE5D69" w:rsidRDefault="00A3250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noProof/>
              </w:rPr>
              <w:drawing>
                <wp:anchor distT="0" distB="0" distL="114300" distR="114300" simplePos="0" relativeHeight="251662336" behindDoc="0" locked="0" layoutInCell="1" allowOverlap="1" wp14:anchorId="59C2D05E" wp14:editId="4B0D4790">
                  <wp:simplePos x="0" y="0"/>
                  <wp:positionH relativeFrom="column">
                    <wp:posOffset>314918</wp:posOffset>
                  </wp:positionH>
                  <wp:positionV relativeFrom="paragraph">
                    <wp:posOffset>45901</wp:posOffset>
                  </wp:positionV>
                  <wp:extent cx="546100" cy="546100"/>
                  <wp:effectExtent l="0" t="0" r="0" b="6350"/>
                  <wp:wrapSquare wrapText="bothSides"/>
                  <wp:docPr id="5" name="Graphic 5" descr="Man with bab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n with baby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p>
        </w:tc>
        <w:tc>
          <w:tcPr>
            <w:tcW w:w="3150" w:type="dxa"/>
          </w:tcPr>
          <w:p w14:paraId="770D495E" w14:textId="6792689F" w:rsidR="007F30B6" w:rsidRPr="00DE5D69" w:rsidRDefault="00E5282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noProof/>
              </w:rPr>
              <w:drawing>
                <wp:anchor distT="0" distB="0" distL="114300" distR="114300" simplePos="0" relativeHeight="251660288" behindDoc="0" locked="0" layoutInCell="1" allowOverlap="1" wp14:anchorId="7DEBBA1A" wp14:editId="711251E1">
                  <wp:simplePos x="0" y="0"/>
                  <wp:positionH relativeFrom="column">
                    <wp:posOffset>720775</wp:posOffset>
                  </wp:positionH>
                  <wp:positionV relativeFrom="paragraph">
                    <wp:posOffset>261257</wp:posOffset>
                  </wp:positionV>
                  <wp:extent cx="534035" cy="534035"/>
                  <wp:effectExtent l="0" t="0" r="0" b="0"/>
                  <wp:wrapSquare wrapText="bothSides"/>
                  <wp:docPr id="4" name="Graphic 4" descr="Doctor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tor female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34035" cy="534035"/>
                          </a:xfrm>
                          <a:prstGeom prst="rect">
                            <a:avLst/>
                          </a:prstGeom>
                        </pic:spPr>
                      </pic:pic>
                    </a:graphicData>
                  </a:graphic>
                  <wp14:sizeRelH relativeFrom="page">
                    <wp14:pctWidth>0</wp14:pctWidth>
                  </wp14:sizeRelH>
                  <wp14:sizeRelV relativeFrom="page">
                    <wp14:pctHeight>0</wp14:pctHeight>
                  </wp14:sizeRelV>
                </wp:anchor>
              </w:drawing>
            </w:r>
            <w:r w:rsidR="007F30B6" w:rsidRPr="00DE5D69">
              <w:rPr>
                <w:rFonts w:cstheme="minorHAnsi"/>
              </w:rPr>
              <w:t>Supply of health</w:t>
            </w:r>
          </w:p>
        </w:tc>
      </w:tr>
      <w:tr w:rsidR="007F30B6" w:rsidRPr="00DE5D69" w14:paraId="78A06C36" w14:textId="77777777" w:rsidTr="0067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17AED79" w14:textId="77A70542" w:rsidR="007F30B6" w:rsidRPr="00DE5D69" w:rsidRDefault="007F30B6">
            <w:pPr>
              <w:rPr>
                <w:rFonts w:cstheme="minorHAnsi"/>
              </w:rPr>
            </w:pPr>
            <w:r w:rsidRPr="00DE5D69">
              <w:rPr>
                <w:rFonts w:cstheme="minorHAnsi"/>
              </w:rPr>
              <w:t>3</w:t>
            </w:r>
          </w:p>
        </w:tc>
        <w:tc>
          <w:tcPr>
            <w:tcW w:w="1710" w:type="dxa"/>
          </w:tcPr>
          <w:p w14:paraId="39A530B7" w14:textId="13AFFC9E" w:rsidR="007F30B6" w:rsidRPr="00DE5D69" w:rsidRDefault="007F30B6">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August 30</w:t>
            </w:r>
          </w:p>
        </w:tc>
        <w:tc>
          <w:tcPr>
            <w:tcW w:w="2070" w:type="dxa"/>
          </w:tcPr>
          <w:p w14:paraId="053BD9B3" w14:textId="7189D079" w:rsidR="000531AA" w:rsidRPr="00DE5D69" w:rsidRDefault="00C7435D" w:rsidP="008F5ABF">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rPr>
              <w:t>Dranove</w:t>
            </w:r>
            <w:proofErr w:type="spellEnd"/>
            <w:r>
              <w:rPr>
                <w:rFonts w:cstheme="minorHAnsi"/>
              </w:rPr>
              <w:t xml:space="preserve"> et al.</w:t>
            </w:r>
            <w:r w:rsidR="005E1C9F">
              <w:rPr>
                <w:rFonts w:cstheme="minorHAnsi"/>
              </w:rPr>
              <w:t xml:space="preserve">, </w:t>
            </w:r>
            <w:r>
              <w:rPr>
                <w:rFonts w:cstheme="minorHAnsi"/>
              </w:rPr>
              <w:t>2003</w:t>
            </w:r>
            <w:r w:rsidR="008F5ABF">
              <w:rPr>
                <w:rFonts w:cstheme="minorHAnsi"/>
              </w:rPr>
              <w:t xml:space="preserve">; </w:t>
            </w:r>
            <w:r w:rsidR="00483D12" w:rsidRPr="00772104">
              <w:rPr>
                <w:rFonts w:cstheme="minorHAnsi"/>
                <w:highlight w:val="yellow"/>
              </w:rPr>
              <w:t>Dunlap et al., 2008</w:t>
            </w:r>
            <w:r w:rsidR="00483D12">
              <w:rPr>
                <w:rFonts w:cstheme="minorHAnsi"/>
              </w:rPr>
              <w:t xml:space="preserve">; </w:t>
            </w:r>
            <w:proofErr w:type="spellStart"/>
            <w:r w:rsidR="00340075">
              <w:rPr>
                <w:rFonts w:cstheme="minorHAnsi"/>
              </w:rPr>
              <w:t>Einav</w:t>
            </w:r>
            <w:proofErr w:type="spellEnd"/>
            <w:r w:rsidR="00340075">
              <w:rPr>
                <w:rFonts w:cstheme="minorHAnsi"/>
              </w:rPr>
              <w:t xml:space="preserve"> and Finkelst</w:t>
            </w:r>
            <w:r w:rsidR="000F52B4">
              <w:rPr>
                <w:rFonts w:cstheme="minorHAnsi"/>
              </w:rPr>
              <w:t>e</w:t>
            </w:r>
            <w:r w:rsidR="00340075">
              <w:rPr>
                <w:rFonts w:cstheme="minorHAnsi"/>
              </w:rPr>
              <w:t>in</w:t>
            </w:r>
            <w:r w:rsidR="005972CA">
              <w:rPr>
                <w:rFonts w:cstheme="minorHAnsi"/>
              </w:rPr>
              <w:t>, 2011</w:t>
            </w:r>
            <w:r w:rsidR="00B47706">
              <w:rPr>
                <w:rFonts w:cstheme="minorHAnsi"/>
              </w:rPr>
              <w:t>, 2018</w:t>
            </w:r>
            <w:r w:rsidR="005972CA">
              <w:rPr>
                <w:rFonts w:cstheme="minorHAnsi"/>
              </w:rPr>
              <w:t xml:space="preserve">; </w:t>
            </w:r>
            <w:proofErr w:type="spellStart"/>
            <w:r w:rsidR="000531AA">
              <w:rPr>
                <w:rFonts w:cstheme="minorHAnsi"/>
              </w:rPr>
              <w:t>Geruso</w:t>
            </w:r>
            <w:proofErr w:type="spellEnd"/>
            <w:r w:rsidR="000531AA">
              <w:rPr>
                <w:rFonts w:cstheme="minorHAnsi"/>
              </w:rPr>
              <w:t xml:space="preserve"> and L</w:t>
            </w:r>
            <w:r w:rsidR="009F4F50">
              <w:rPr>
                <w:rFonts w:cstheme="minorHAnsi"/>
              </w:rPr>
              <w:t>a</w:t>
            </w:r>
            <w:r w:rsidR="000531AA">
              <w:rPr>
                <w:rFonts w:cstheme="minorHAnsi"/>
              </w:rPr>
              <w:t>yton, 2017</w:t>
            </w:r>
          </w:p>
        </w:tc>
        <w:tc>
          <w:tcPr>
            <w:tcW w:w="2250" w:type="dxa"/>
          </w:tcPr>
          <w:p w14:paraId="432022A6" w14:textId="77777777" w:rsidR="007F30B6" w:rsidRDefault="007F30B6">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Supply of health</w:t>
            </w:r>
          </w:p>
          <w:p w14:paraId="5E3BAFA7" w14:textId="77777777" w:rsidR="00F530F0" w:rsidRDefault="00F530F0">
            <w:pPr>
              <w:cnfStyle w:val="000000100000" w:firstRow="0" w:lastRow="0" w:firstColumn="0" w:lastColumn="0" w:oddVBand="0" w:evenVBand="0" w:oddHBand="1" w:evenHBand="0" w:firstRowFirstColumn="0" w:firstRowLastColumn="0" w:lastRowFirstColumn="0" w:lastRowLastColumn="0"/>
              <w:rPr>
                <w:rFonts w:cstheme="minorHAnsi"/>
              </w:rPr>
            </w:pPr>
          </w:p>
          <w:p w14:paraId="6C599C33" w14:textId="32CE862A" w:rsidR="00F530F0" w:rsidRPr="00DE5D69" w:rsidRDefault="00F530F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noProof/>
              </w:rPr>
              <w:drawing>
                <wp:anchor distT="0" distB="0" distL="114300" distR="114300" simplePos="0" relativeHeight="251664384" behindDoc="0" locked="0" layoutInCell="1" allowOverlap="1" wp14:anchorId="37FDD3B2" wp14:editId="020119DA">
                  <wp:simplePos x="0" y="0"/>
                  <wp:positionH relativeFrom="column">
                    <wp:posOffset>290195</wp:posOffset>
                  </wp:positionH>
                  <wp:positionV relativeFrom="paragraph">
                    <wp:posOffset>60325</wp:posOffset>
                  </wp:positionV>
                  <wp:extent cx="534035" cy="534035"/>
                  <wp:effectExtent l="0" t="0" r="0" b="0"/>
                  <wp:wrapSquare wrapText="bothSides"/>
                  <wp:docPr id="6" name="Graphic 6" descr="Doctor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tor female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34035" cy="534035"/>
                          </a:xfrm>
                          <a:prstGeom prst="rect">
                            <a:avLst/>
                          </a:prstGeom>
                        </pic:spPr>
                      </pic:pic>
                    </a:graphicData>
                  </a:graphic>
                  <wp14:sizeRelH relativeFrom="page">
                    <wp14:pctWidth>0</wp14:pctWidth>
                  </wp14:sizeRelH>
                  <wp14:sizeRelV relativeFrom="page">
                    <wp14:pctHeight>0</wp14:pctHeight>
                  </wp14:sizeRelV>
                </wp:anchor>
              </w:drawing>
            </w:r>
          </w:p>
        </w:tc>
        <w:tc>
          <w:tcPr>
            <w:tcW w:w="3150" w:type="dxa"/>
          </w:tcPr>
          <w:p w14:paraId="114AAB75" w14:textId="18429DAF" w:rsidR="007F30B6" w:rsidRPr="00DE5D69" w:rsidRDefault="007F30B6">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 xml:space="preserve">Insurance </w:t>
            </w:r>
            <w:r w:rsidR="009F4F50">
              <w:rPr>
                <w:rFonts w:cstheme="minorHAnsi"/>
              </w:rPr>
              <w:t>–</w:t>
            </w:r>
            <w:r w:rsidRPr="00DE5D69">
              <w:rPr>
                <w:rFonts w:cstheme="minorHAnsi"/>
              </w:rPr>
              <w:t xml:space="preserve"> theory</w:t>
            </w:r>
            <w:r w:rsidR="005D778B">
              <w:rPr>
                <w:rFonts w:cstheme="minorHAnsi"/>
              </w:rPr>
              <w:t xml:space="preserve"> and evidence</w:t>
            </w:r>
          </w:p>
        </w:tc>
      </w:tr>
      <w:tr w:rsidR="007F30B6" w:rsidRPr="00DE5D69" w14:paraId="2FD42924" w14:textId="77777777" w:rsidTr="00674F31">
        <w:tc>
          <w:tcPr>
            <w:cnfStyle w:val="001000000000" w:firstRow="0" w:lastRow="0" w:firstColumn="1" w:lastColumn="0" w:oddVBand="0" w:evenVBand="0" w:oddHBand="0" w:evenHBand="0" w:firstRowFirstColumn="0" w:firstRowLastColumn="0" w:lastRowFirstColumn="0" w:lastRowLastColumn="0"/>
            <w:tcW w:w="445" w:type="dxa"/>
          </w:tcPr>
          <w:p w14:paraId="6C048C86" w14:textId="5D81AA3D" w:rsidR="007F30B6" w:rsidRPr="00DE5D69" w:rsidRDefault="007F30B6">
            <w:pPr>
              <w:rPr>
                <w:rFonts w:cstheme="minorHAnsi"/>
              </w:rPr>
            </w:pPr>
            <w:r w:rsidRPr="00DE5D69">
              <w:rPr>
                <w:rFonts w:cstheme="minorHAnsi"/>
              </w:rPr>
              <w:t>4</w:t>
            </w:r>
          </w:p>
        </w:tc>
        <w:tc>
          <w:tcPr>
            <w:tcW w:w="1710" w:type="dxa"/>
          </w:tcPr>
          <w:p w14:paraId="3D64431C" w14:textId="1DA55D9A" w:rsidR="007F30B6" w:rsidRPr="00DE5D69" w:rsidRDefault="007F30B6">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September 6</w:t>
            </w:r>
          </w:p>
        </w:tc>
        <w:tc>
          <w:tcPr>
            <w:tcW w:w="2070" w:type="dxa"/>
          </w:tcPr>
          <w:p w14:paraId="06D78975" w14:textId="2868A363" w:rsidR="007C6500" w:rsidRPr="00DE5D69" w:rsidRDefault="000404B0" w:rsidP="00666C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Anderson et al., 2012; </w:t>
            </w:r>
            <w:proofErr w:type="spellStart"/>
            <w:r w:rsidR="00C042A1">
              <w:rPr>
                <w:rFonts w:cstheme="minorHAnsi"/>
              </w:rPr>
              <w:t>Buchmueller</w:t>
            </w:r>
            <w:proofErr w:type="spellEnd"/>
            <w:r w:rsidR="00C042A1">
              <w:rPr>
                <w:rFonts w:cstheme="minorHAnsi"/>
              </w:rPr>
              <w:t xml:space="preserve"> et al.</w:t>
            </w:r>
            <w:r w:rsidR="005E1C9F">
              <w:rPr>
                <w:rFonts w:cstheme="minorHAnsi"/>
              </w:rPr>
              <w:t xml:space="preserve">, </w:t>
            </w:r>
            <w:r w:rsidR="004819F2">
              <w:rPr>
                <w:rFonts w:cstheme="minorHAnsi"/>
              </w:rPr>
              <w:t>2011</w:t>
            </w:r>
            <w:r w:rsidR="005E1C9F">
              <w:rPr>
                <w:rFonts w:cstheme="minorHAnsi"/>
              </w:rPr>
              <w:t>;</w:t>
            </w:r>
            <w:r w:rsidR="00C042A1">
              <w:rPr>
                <w:rFonts w:cstheme="minorHAnsi"/>
              </w:rPr>
              <w:t xml:space="preserve"> </w:t>
            </w:r>
            <w:r w:rsidR="005E3BA3">
              <w:rPr>
                <w:rFonts w:cstheme="minorHAnsi"/>
              </w:rPr>
              <w:t>Card et al.</w:t>
            </w:r>
            <w:r w:rsidR="005E1C9F">
              <w:rPr>
                <w:rFonts w:cstheme="minorHAnsi"/>
              </w:rPr>
              <w:t xml:space="preserve">, </w:t>
            </w:r>
            <w:r w:rsidR="005E3BA3">
              <w:rPr>
                <w:rFonts w:cstheme="minorHAnsi"/>
              </w:rPr>
              <w:t>2008</w:t>
            </w:r>
            <w:r w:rsidR="00666CE6">
              <w:rPr>
                <w:rFonts w:cstheme="minorHAnsi"/>
              </w:rPr>
              <w:t xml:space="preserve">; </w:t>
            </w:r>
            <w:r w:rsidR="00BC650F">
              <w:rPr>
                <w:rFonts w:cstheme="minorHAnsi"/>
              </w:rPr>
              <w:t>Cowell et al., 2018</w:t>
            </w:r>
            <w:r w:rsidR="0062738D">
              <w:rPr>
                <w:rFonts w:cstheme="minorHAnsi"/>
              </w:rPr>
              <w:t xml:space="preserve">; </w:t>
            </w:r>
            <w:proofErr w:type="spellStart"/>
            <w:r w:rsidR="007C6500">
              <w:rPr>
                <w:rFonts w:cstheme="minorHAnsi"/>
              </w:rPr>
              <w:t>Einav</w:t>
            </w:r>
            <w:proofErr w:type="spellEnd"/>
            <w:r w:rsidR="007C6500">
              <w:rPr>
                <w:rFonts w:cstheme="minorHAnsi"/>
              </w:rPr>
              <w:t xml:space="preserve"> and Finkelstein, 2011 &amp; 2018</w:t>
            </w:r>
          </w:p>
        </w:tc>
        <w:tc>
          <w:tcPr>
            <w:tcW w:w="2250" w:type="dxa"/>
          </w:tcPr>
          <w:p w14:paraId="1631DCA8" w14:textId="77777777" w:rsidR="007F30B6" w:rsidRDefault="0004584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LABOR DAY – no class!</w:t>
            </w:r>
          </w:p>
          <w:p w14:paraId="1BF5FC3E" w14:textId="765E5849" w:rsidR="00045846" w:rsidRPr="00DE5D69" w:rsidRDefault="0004584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noProof/>
              </w:rPr>
              <w:drawing>
                <wp:anchor distT="0" distB="0" distL="114300" distR="114300" simplePos="0" relativeHeight="251658240" behindDoc="0" locked="0" layoutInCell="1" allowOverlap="1" wp14:anchorId="1C6DDFF5" wp14:editId="64B08D47">
                  <wp:simplePos x="3669475" y="3764478"/>
                  <wp:positionH relativeFrom="margin">
                    <wp:align>center</wp:align>
                  </wp:positionH>
                  <wp:positionV relativeFrom="margin">
                    <wp:align>bottom</wp:align>
                  </wp:positionV>
                  <wp:extent cx="552202" cy="552202"/>
                  <wp:effectExtent l="0" t="0" r="0" b="635"/>
                  <wp:wrapSquare wrapText="bothSides"/>
                  <wp:docPr id="2" name="Graphic 2" descr="Electrician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lectrician mal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52202" cy="552202"/>
                          </a:xfrm>
                          <a:prstGeom prst="rect">
                            <a:avLst/>
                          </a:prstGeom>
                        </pic:spPr>
                      </pic:pic>
                    </a:graphicData>
                  </a:graphic>
                </wp:anchor>
              </w:drawing>
            </w:r>
          </w:p>
        </w:tc>
        <w:tc>
          <w:tcPr>
            <w:tcW w:w="3150" w:type="dxa"/>
          </w:tcPr>
          <w:p w14:paraId="4A6F6DCD" w14:textId="25255D33" w:rsidR="007F30B6" w:rsidRPr="00DE5D69" w:rsidRDefault="007F30B6">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 xml:space="preserve">Insurance– </w:t>
            </w:r>
            <w:r w:rsidR="00045846">
              <w:rPr>
                <w:rFonts w:cstheme="minorHAnsi"/>
              </w:rPr>
              <w:t xml:space="preserve">evidence: </w:t>
            </w:r>
            <w:r w:rsidRPr="00DE5D69">
              <w:rPr>
                <w:rFonts w:cstheme="minorHAnsi"/>
              </w:rPr>
              <w:t>the ACA really is a big deal</w:t>
            </w:r>
          </w:p>
        </w:tc>
      </w:tr>
      <w:tr w:rsidR="007F30B6" w:rsidRPr="00DE5D69" w14:paraId="614C88E5" w14:textId="77777777" w:rsidTr="0067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D8ABF9E" w14:textId="526CCA57" w:rsidR="007F30B6" w:rsidRPr="00DE5D69" w:rsidRDefault="007F30B6">
            <w:pPr>
              <w:rPr>
                <w:rFonts w:cstheme="minorHAnsi"/>
              </w:rPr>
            </w:pPr>
            <w:r w:rsidRPr="00DE5D69">
              <w:rPr>
                <w:rFonts w:cstheme="minorHAnsi"/>
              </w:rPr>
              <w:t>5</w:t>
            </w:r>
          </w:p>
        </w:tc>
        <w:tc>
          <w:tcPr>
            <w:tcW w:w="1710" w:type="dxa"/>
          </w:tcPr>
          <w:p w14:paraId="1CB20D11" w14:textId="70A1E2E8" w:rsidR="007F30B6" w:rsidRPr="00DE5D69" w:rsidRDefault="007F30B6">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September 13</w:t>
            </w:r>
          </w:p>
        </w:tc>
        <w:tc>
          <w:tcPr>
            <w:tcW w:w="2070" w:type="dxa"/>
          </w:tcPr>
          <w:p w14:paraId="0ABBA2E9" w14:textId="2EDBBBA6" w:rsidR="005E1C9F" w:rsidRDefault="005E1C9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Cutler and Ly, </w:t>
            </w:r>
            <w:proofErr w:type="gramStart"/>
            <w:r>
              <w:rPr>
                <w:rFonts w:cstheme="minorHAnsi"/>
              </w:rPr>
              <w:t>2011</w:t>
            </w:r>
            <w:r w:rsidR="00526817">
              <w:rPr>
                <w:rFonts w:cstheme="minorHAnsi"/>
              </w:rPr>
              <w:t>;</w:t>
            </w:r>
            <w:proofErr w:type="gramEnd"/>
          </w:p>
          <w:p w14:paraId="259D8DE5" w14:textId="0A24C5B0" w:rsidR="007F30B6" w:rsidRPr="00DE5D69" w:rsidRDefault="007105A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Hartman et al., 2018</w:t>
            </w:r>
          </w:p>
        </w:tc>
        <w:tc>
          <w:tcPr>
            <w:tcW w:w="2250" w:type="dxa"/>
          </w:tcPr>
          <w:p w14:paraId="0C34E943" w14:textId="77777777" w:rsidR="007F30B6" w:rsidRDefault="007F30B6">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 xml:space="preserve">The cost of healthcare </w:t>
            </w:r>
          </w:p>
          <w:p w14:paraId="4D0064BA" w14:textId="79B7689B" w:rsidR="00C75F44" w:rsidRPr="00DE5D69" w:rsidRDefault="00C75F44">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0" w:type="dxa"/>
          </w:tcPr>
          <w:p w14:paraId="75ABF7C0" w14:textId="59B652B9" w:rsidR="007F30B6" w:rsidRPr="00DE5D69" w:rsidRDefault="007F30B6">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So how do others do it? International health and healthcare</w:t>
            </w:r>
            <w:r w:rsidR="00733BA3">
              <w:rPr>
                <w:rFonts w:cstheme="minorHAnsi"/>
              </w:rPr>
              <w:t xml:space="preserve"> (</w:t>
            </w:r>
            <w:r w:rsidR="00733BA3" w:rsidRPr="00733BA3">
              <w:rPr>
                <w:rFonts w:cstheme="minorHAnsi"/>
                <w:i/>
                <w:iCs/>
              </w:rPr>
              <w:t>flex class</w:t>
            </w:r>
            <w:r w:rsidR="00733BA3">
              <w:rPr>
                <w:rFonts w:cstheme="minorHAnsi"/>
              </w:rPr>
              <w:t>)</w:t>
            </w:r>
          </w:p>
        </w:tc>
      </w:tr>
      <w:tr w:rsidR="001D10AD" w:rsidRPr="00DE5D69" w14:paraId="1A737E49" w14:textId="77777777" w:rsidTr="00674F31">
        <w:tc>
          <w:tcPr>
            <w:cnfStyle w:val="001000000000" w:firstRow="0" w:lastRow="0" w:firstColumn="1" w:lastColumn="0" w:oddVBand="0" w:evenVBand="0" w:oddHBand="0" w:evenHBand="0" w:firstRowFirstColumn="0" w:firstRowLastColumn="0" w:lastRowFirstColumn="0" w:lastRowLastColumn="0"/>
            <w:tcW w:w="445" w:type="dxa"/>
          </w:tcPr>
          <w:p w14:paraId="14298A30" w14:textId="329B3FD3" w:rsidR="001D10AD" w:rsidRPr="00DE5D69" w:rsidRDefault="001D10AD" w:rsidP="001D10AD">
            <w:pPr>
              <w:rPr>
                <w:rFonts w:cstheme="minorHAnsi"/>
              </w:rPr>
            </w:pPr>
            <w:r w:rsidRPr="00DE5D69">
              <w:rPr>
                <w:rFonts w:cstheme="minorHAnsi"/>
              </w:rPr>
              <w:t>6</w:t>
            </w:r>
          </w:p>
        </w:tc>
        <w:tc>
          <w:tcPr>
            <w:tcW w:w="1710" w:type="dxa"/>
          </w:tcPr>
          <w:p w14:paraId="793B117B" w14:textId="675DCA5F" w:rsidR="001D10AD" w:rsidRPr="00DE5D69" w:rsidRDefault="001D10AD" w:rsidP="001D10AD">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September 20</w:t>
            </w:r>
          </w:p>
        </w:tc>
        <w:tc>
          <w:tcPr>
            <w:tcW w:w="2070" w:type="dxa"/>
          </w:tcPr>
          <w:p w14:paraId="070C27D8" w14:textId="243301BD" w:rsidR="001D10AD" w:rsidRPr="00DE5D69" w:rsidRDefault="005C5707" w:rsidP="001D10A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Kruk et al., 2009</w:t>
            </w:r>
          </w:p>
        </w:tc>
        <w:tc>
          <w:tcPr>
            <w:tcW w:w="2250" w:type="dxa"/>
          </w:tcPr>
          <w:p w14:paraId="5F77A734" w14:textId="0D9113E8" w:rsidR="001D10AD" w:rsidRPr="00DE5D69" w:rsidRDefault="001D10AD" w:rsidP="001D10AD">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So how do others do it? International health and healthcare</w:t>
            </w:r>
          </w:p>
        </w:tc>
        <w:tc>
          <w:tcPr>
            <w:tcW w:w="3150" w:type="dxa"/>
          </w:tcPr>
          <w:p w14:paraId="6A1A9FDB" w14:textId="36DBFC44" w:rsidR="001D10AD" w:rsidRPr="00DE5D69" w:rsidRDefault="001D10AD" w:rsidP="001D10AD">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So how do others do it? International health and healthcare</w:t>
            </w:r>
            <w:r w:rsidR="00A44D9B">
              <w:rPr>
                <w:rFonts w:cstheme="minorHAnsi"/>
              </w:rPr>
              <w:t xml:space="preserve"> </w:t>
            </w:r>
          </w:p>
        </w:tc>
      </w:tr>
      <w:tr w:rsidR="00674F31" w:rsidRPr="00DE5D69" w14:paraId="09F27E95" w14:textId="77777777" w:rsidTr="0067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7640000" w14:textId="7024B008" w:rsidR="001D10AD" w:rsidRPr="00DE5D69" w:rsidRDefault="001D10AD" w:rsidP="001D10AD">
            <w:pPr>
              <w:rPr>
                <w:rFonts w:cstheme="minorHAnsi"/>
              </w:rPr>
            </w:pPr>
            <w:r w:rsidRPr="00DE5D69">
              <w:rPr>
                <w:rFonts w:cstheme="minorHAnsi"/>
              </w:rPr>
              <w:t>7</w:t>
            </w:r>
          </w:p>
        </w:tc>
        <w:tc>
          <w:tcPr>
            <w:tcW w:w="1710" w:type="dxa"/>
          </w:tcPr>
          <w:p w14:paraId="5BC0754F" w14:textId="1C23759E" w:rsidR="001D10AD" w:rsidRPr="00DE5D69" w:rsidRDefault="001D10AD" w:rsidP="001D10AD">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September 27</w:t>
            </w:r>
          </w:p>
        </w:tc>
        <w:tc>
          <w:tcPr>
            <w:tcW w:w="2070" w:type="dxa"/>
          </w:tcPr>
          <w:p w14:paraId="437D77D5" w14:textId="2768ED97" w:rsidR="001D10AD" w:rsidRPr="00DE5D69" w:rsidRDefault="002F6ECC" w:rsidP="001D10A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Case &amp; Deaton, 2021; </w:t>
            </w:r>
            <w:r w:rsidR="00E10839">
              <w:rPr>
                <w:rFonts w:cstheme="minorHAnsi"/>
              </w:rPr>
              <w:t xml:space="preserve">Case, A.; </w:t>
            </w:r>
            <w:r w:rsidR="005111FD">
              <w:rPr>
                <w:rFonts w:cstheme="minorHAnsi"/>
              </w:rPr>
              <w:t>Sen, 2002</w:t>
            </w:r>
          </w:p>
        </w:tc>
        <w:tc>
          <w:tcPr>
            <w:tcW w:w="2250" w:type="dxa"/>
          </w:tcPr>
          <w:p w14:paraId="6806960A" w14:textId="04AF5D10" w:rsidR="001D10AD" w:rsidRPr="00DE5D69" w:rsidRDefault="001D10AD" w:rsidP="001D10AD">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 xml:space="preserve">Equity </w:t>
            </w:r>
            <w:r w:rsidR="00CE1F7B" w:rsidRPr="00DE5D69">
              <w:rPr>
                <w:rFonts w:cstheme="minorHAnsi"/>
              </w:rPr>
              <w:t xml:space="preserve">and </w:t>
            </w:r>
            <w:r w:rsidRPr="00DE5D69">
              <w:rPr>
                <w:rFonts w:cstheme="minorHAnsi"/>
              </w:rPr>
              <w:t>health care</w:t>
            </w:r>
          </w:p>
        </w:tc>
        <w:tc>
          <w:tcPr>
            <w:tcW w:w="3150" w:type="dxa"/>
          </w:tcPr>
          <w:p w14:paraId="016139C9" w14:textId="551B5C56" w:rsidR="001D10AD" w:rsidRPr="00DE5D69" w:rsidRDefault="001D10AD" w:rsidP="001D10AD">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 xml:space="preserve">Equity </w:t>
            </w:r>
            <w:r w:rsidR="00CE1F7B" w:rsidRPr="00DE5D69">
              <w:rPr>
                <w:rFonts w:cstheme="minorHAnsi"/>
              </w:rPr>
              <w:t>and</w:t>
            </w:r>
            <w:r w:rsidRPr="00DE5D69">
              <w:rPr>
                <w:rFonts w:cstheme="minorHAnsi"/>
              </w:rPr>
              <w:t xml:space="preserve"> health</w:t>
            </w:r>
            <w:r w:rsidR="00CE1F7B" w:rsidRPr="00DE5D69">
              <w:rPr>
                <w:rFonts w:cstheme="minorHAnsi"/>
              </w:rPr>
              <w:t xml:space="preserve"> </w:t>
            </w:r>
            <w:r w:rsidRPr="00DE5D69">
              <w:rPr>
                <w:rFonts w:cstheme="minorHAnsi"/>
              </w:rPr>
              <w:t>care</w:t>
            </w:r>
          </w:p>
        </w:tc>
      </w:tr>
      <w:tr w:rsidR="001D10AD" w:rsidRPr="00DE5D69" w14:paraId="5E57E0F6" w14:textId="77777777" w:rsidTr="00674F31">
        <w:tc>
          <w:tcPr>
            <w:cnfStyle w:val="001000000000" w:firstRow="0" w:lastRow="0" w:firstColumn="1" w:lastColumn="0" w:oddVBand="0" w:evenVBand="0" w:oddHBand="0" w:evenHBand="0" w:firstRowFirstColumn="0" w:firstRowLastColumn="0" w:lastRowFirstColumn="0" w:lastRowLastColumn="0"/>
            <w:tcW w:w="445" w:type="dxa"/>
          </w:tcPr>
          <w:p w14:paraId="7D55E8C7" w14:textId="4A821B3E" w:rsidR="001D10AD" w:rsidRPr="00DE5D69" w:rsidRDefault="001D10AD" w:rsidP="001D10AD">
            <w:pPr>
              <w:rPr>
                <w:rFonts w:cstheme="minorHAnsi"/>
              </w:rPr>
            </w:pPr>
            <w:r w:rsidRPr="00DE5D69">
              <w:rPr>
                <w:rFonts w:cstheme="minorHAnsi"/>
              </w:rPr>
              <w:t>8</w:t>
            </w:r>
          </w:p>
        </w:tc>
        <w:tc>
          <w:tcPr>
            <w:tcW w:w="1710" w:type="dxa"/>
          </w:tcPr>
          <w:p w14:paraId="71430CE5" w14:textId="2D0D9690" w:rsidR="001D10AD" w:rsidRPr="00DE5D69" w:rsidRDefault="001D10AD" w:rsidP="001D10AD">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October 4</w:t>
            </w:r>
          </w:p>
        </w:tc>
        <w:tc>
          <w:tcPr>
            <w:tcW w:w="2070" w:type="dxa"/>
          </w:tcPr>
          <w:p w14:paraId="03E65932" w14:textId="60BA20E6" w:rsidR="001D10AD" w:rsidRPr="00DE5D69" w:rsidRDefault="00937FCA" w:rsidP="001D10AD">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CC2D14">
              <w:rPr>
                <w:rFonts w:cstheme="minorHAnsi"/>
                <w:lang w:val="es-AR"/>
              </w:rPr>
              <w:t>Karoly</w:t>
            </w:r>
            <w:proofErr w:type="spellEnd"/>
            <w:r w:rsidRPr="00CC2D14">
              <w:rPr>
                <w:rFonts w:cstheme="minorHAnsi"/>
                <w:lang w:val="es-AR"/>
              </w:rPr>
              <w:t xml:space="preserve"> et al., 2011</w:t>
            </w:r>
            <w:r w:rsidR="00CC2D14" w:rsidRPr="00CC2D14">
              <w:rPr>
                <w:rFonts w:cstheme="minorHAnsi"/>
                <w:lang w:val="es-AR"/>
              </w:rPr>
              <w:t xml:space="preserve">; </w:t>
            </w:r>
            <w:r w:rsidR="00E50651">
              <w:rPr>
                <w:rFonts w:cstheme="minorHAnsi"/>
                <w:lang w:val="es-AR"/>
              </w:rPr>
              <w:t>Jones, 2012</w:t>
            </w:r>
          </w:p>
        </w:tc>
        <w:tc>
          <w:tcPr>
            <w:tcW w:w="2250" w:type="dxa"/>
          </w:tcPr>
          <w:p w14:paraId="09ADB27F" w14:textId="412374C8" w:rsidR="001D10AD" w:rsidRPr="00DE5D69" w:rsidRDefault="001D10AD" w:rsidP="001D10AD">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Midterm</w:t>
            </w:r>
          </w:p>
        </w:tc>
        <w:tc>
          <w:tcPr>
            <w:tcW w:w="3150" w:type="dxa"/>
          </w:tcPr>
          <w:p w14:paraId="34528F80" w14:textId="74C8C583" w:rsidR="001D10AD" w:rsidRPr="00DE5D69" w:rsidRDefault="00CC2D14" w:rsidP="001D10A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Prevention and s</w:t>
            </w:r>
            <w:r w:rsidR="00B917D2" w:rsidRPr="00DE5D69">
              <w:rPr>
                <w:rFonts w:cstheme="minorHAnsi"/>
              </w:rPr>
              <w:t>ocial determinants of health</w:t>
            </w:r>
          </w:p>
        </w:tc>
      </w:tr>
      <w:tr w:rsidR="00674F31" w:rsidRPr="00DE5D69" w14:paraId="1F32D33E" w14:textId="77777777" w:rsidTr="0067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01C1E2F" w14:textId="7C5BE892" w:rsidR="00D26C84" w:rsidRPr="00DE5D69" w:rsidRDefault="00D26C84" w:rsidP="00D26C84">
            <w:pPr>
              <w:rPr>
                <w:rFonts w:cstheme="minorHAnsi"/>
              </w:rPr>
            </w:pPr>
            <w:r w:rsidRPr="00DE5D69">
              <w:rPr>
                <w:rFonts w:cstheme="minorHAnsi"/>
              </w:rPr>
              <w:t>9</w:t>
            </w:r>
          </w:p>
        </w:tc>
        <w:tc>
          <w:tcPr>
            <w:tcW w:w="1710" w:type="dxa"/>
          </w:tcPr>
          <w:p w14:paraId="1E07D501" w14:textId="0B8533AD" w:rsidR="00D26C84" w:rsidRPr="00DE5D69" w:rsidRDefault="00D26C84" w:rsidP="00D26C84">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October 11</w:t>
            </w:r>
          </w:p>
        </w:tc>
        <w:tc>
          <w:tcPr>
            <w:tcW w:w="2070" w:type="dxa"/>
          </w:tcPr>
          <w:p w14:paraId="60BBDFEE" w14:textId="77777777" w:rsidR="00D26C84" w:rsidRDefault="00526595" w:rsidP="00D26C8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Weinberger, </w:t>
            </w:r>
            <w:proofErr w:type="gramStart"/>
            <w:r>
              <w:rPr>
                <w:rFonts w:cstheme="minorHAnsi"/>
              </w:rPr>
              <w:t>2014</w:t>
            </w:r>
            <w:r w:rsidR="00B5796C">
              <w:rPr>
                <w:rFonts w:cstheme="minorHAnsi"/>
              </w:rPr>
              <w:t>;</w:t>
            </w:r>
            <w:proofErr w:type="gramEnd"/>
          </w:p>
          <w:p w14:paraId="7882C58A" w14:textId="7B890CF1" w:rsidR="00B5796C" w:rsidRPr="00DE5D69" w:rsidRDefault="00B5796C" w:rsidP="00D26C8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Kim and Goldie, 2008</w:t>
            </w:r>
          </w:p>
        </w:tc>
        <w:tc>
          <w:tcPr>
            <w:tcW w:w="2250" w:type="dxa"/>
          </w:tcPr>
          <w:p w14:paraId="4F6EA740" w14:textId="1D56FA68" w:rsidR="00D26C84" w:rsidRPr="00DE5D69" w:rsidRDefault="00CC2D14" w:rsidP="00D26C8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Prevention and S</w:t>
            </w:r>
            <w:r w:rsidR="00B917D2" w:rsidRPr="00DE5D69">
              <w:rPr>
                <w:rFonts w:cstheme="minorHAnsi"/>
              </w:rPr>
              <w:t>ocial determinants of health</w:t>
            </w:r>
          </w:p>
        </w:tc>
        <w:tc>
          <w:tcPr>
            <w:tcW w:w="3150" w:type="dxa"/>
          </w:tcPr>
          <w:p w14:paraId="2D833FC9" w14:textId="730EBDB3" w:rsidR="00D26C84" w:rsidRPr="00DE5D69" w:rsidRDefault="00D26C84" w:rsidP="00D26C84">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Economics and epidemiology</w:t>
            </w:r>
          </w:p>
        </w:tc>
      </w:tr>
      <w:tr w:rsidR="00D26C84" w:rsidRPr="00DE5D69" w14:paraId="3B0BD538" w14:textId="77777777" w:rsidTr="00674F31">
        <w:tc>
          <w:tcPr>
            <w:cnfStyle w:val="001000000000" w:firstRow="0" w:lastRow="0" w:firstColumn="1" w:lastColumn="0" w:oddVBand="0" w:evenVBand="0" w:oddHBand="0" w:evenHBand="0" w:firstRowFirstColumn="0" w:firstRowLastColumn="0" w:lastRowFirstColumn="0" w:lastRowLastColumn="0"/>
            <w:tcW w:w="445" w:type="dxa"/>
          </w:tcPr>
          <w:p w14:paraId="4E5C2B71" w14:textId="3879B9CA" w:rsidR="00D26C84" w:rsidRPr="00DE5D69" w:rsidRDefault="00D26C84" w:rsidP="00D26C84">
            <w:pPr>
              <w:rPr>
                <w:rFonts w:cstheme="minorHAnsi"/>
              </w:rPr>
            </w:pPr>
            <w:r w:rsidRPr="00DE5D69">
              <w:rPr>
                <w:rFonts w:cstheme="minorHAnsi"/>
              </w:rPr>
              <w:lastRenderedPageBreak/>
              <w:t>10</w:t>
            </w:r>
          </w:p>
        </w:tc>
        <w:tc>
          <w:tcPr>
            <w:tcW w:w="1710" w:type="dxa"/>
          </w:tcPr>
          <w:p w14:paraId="38FB5FBB" w14:textId="607D9F7B"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October 18</w:t>
            </w:r>
          </w:p>
        </w:tc>
        <w:tc>
          <w:tcPr>
            <w:tcW w:w="2070" w:type="dxa"/>
          </w:tcPr>
          <w:p w14:paraId="18FD3260" w14:textId="77777777"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50" w:type="dxa"/>
          </w:tcPr>
          <w:p w14:paraId="6EDBD384" w14:textId="1ECA01E3"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Obesity</w:t>
            </w:r>
          </w:p>
        </w:tc>
        <w:tc>
          <w:tcPr>
            <w:tcW w:w="3150" w:type="dxa"/>
          </w:tcPr>
          <w:p w14:paraId="1E94519E" w14:textId="46B7335D"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The opioid crisis</w:t>
            </w:r>
          </w:p>
        </w:tc>
      </w:tr>
      <w:tr w:rsidR="00674F31" w:rsidRPr="00DE5D69" w14:paraId="78365619" w14:textId="77777777" w:rsidTr="0067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D830449" w14:textId="1A86F725" w:rsidR="00D26C84" w:rsidRPr="00DE5D69" w:rsidRDefault="00D26C84" w:rsidP="00D26C84">
            <w:pPr>
              <w:rPr>
                <w:rFonts w:cstheme="minorHAnsi"/>
              </w:rPr>
            </w:pPr>
            <w:r w:rsidRPr="00DE5D69">
              <w:rPr>
                <w:rFonts w:cstheme="minorHAnsi"/>
              </w:rPr>
              <w:t>11</w:t>
            </w:r>
          </w:p>
        </w:tc>
        <w:tc>
          <w:tcPr>
            <w:tcW w:w="1710" w:type="dxa"/>
          </w:tcPr>
          <w:p w14:paraId="623A518D" w14:textId="0B699B99" w:rsidR="00D26C84" w:rsidRPr="00DE5D69" w:rsidRDefault="00D26C84" w:rsidP="00D26C84">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October 25</w:t>
            </w:r>
          </w:p>
        </w:tc>
        <w:tc>
          <w:tcPr>
            <w:tcW w:w="2070" w:type="dxa"/>
          </w:tcPr>
          <w:p w14:paraId="6CA6D45E" w14:textId="77777777" w:rsidR="000F715D" w:rsidRDefault="00542BA2" w:rsidP="0056568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Cowell et al., 20</w:t>
            </w:r>
            <w:r w:rsidR="002A6468">
              <w:rPr>
                <w:rFonts w:cstheme="minorHAnsi"/>
              </w:rPr>
              <w:t>12</w:t>
            </w:r>
            <w:r w:rsidR="000F715D">
              <w:rPr>
                <w:rFonts w:cstheme="minorHAnsi"/>
              </w:rPr>
              <w:t xml:space="preserve">; Fenwick et al., </w:t>
            </w:r>
            <w:proofErr w:type="gramStart"/>
            <w:r w:rsidR="000F715D">
              <w:rPr>
                <w:rFonts w:cstheme="minorHAnsi"/>
              </w:rPr>
              <w:t>2004</w:t>
            </w:r>
            <w:r w:rsidR="00605FD5">
              <w:rPr>
                <w:rFonts w:cstheme="minorHAnsi"/>
              </w:rPr>
              <w:t>;</w:t>
            </w:r>
            <w:proofErr w:type="gramEnd"/>
          </w:p>
          <w:p w14:paraId="546728CE" w14:textId="30EBB19F" w:rsidR="00605FD5" w:rsidRPr="00DE5D69" w:rsidRDefault="00605FD5" w:rsidP="00565683">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rPr>
              <w:t>Bala</w:t>
            </w:r>
            <w:proofErr w:type="spellEnd"/>
            <w:r>
              <w:rPr>
                <w:rFonts w:cstheme="minorHAnsi"/>
              </w:rPr>
              <w:t xml:space="preserve"> &amp; </w:t>
            </w:r>
            <w:proofErr w:type="spellStart"/>
            <w:r>
              <w:rPr>
                <w:rFonts w:cstheme="minorHAnsi"/>
              </w:rPr>
              <w:t>Zarkin</w:t>
            </w:r>
            <w:proofErr w:type="spellEnd"/>
            <w:r>
              <w:rPr>
                <w:rFonts w:cstheme="minorHAnsi"/>
              </w:rPr>
              <w:t>, 2000 &amp; 20</w:t>
            </w:r>
            <w:r w:rsidR="0027014E">
              <w:rPr>
                <w:rFonts w:cstheme="minorHAnsi"/>
              </w:rPr>
              <w:t>0</w:t>
            </w:r>
            <w:r>
              <w:rPr>
                <w:rFonts w:cstheme="minorHAnsi"/>
              </w:rPr>
              <w:t>2</w:t>
            </w:r>
          </w:p>
        </w:tc>
        <w:tc>
          <w:tcPr>
            <w:tcW w:w="2250" w:type="dxa"/>
          </w:tcPr>
          <w:p w14:paraId="72577C37" w14:textId="7D3A3EB7" w:rsidR="00D26C84" w:rsidRPr="00DE5D69" w:rsidRDefault="00D26C84" w:rsidP="00D26C84">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Other substances</w:t>
            </w:r>
          </w:p>
        </w:tc>
        <w:tc>
          <w:tcPr>
            <w:tcW w:w="3150" w:type="dxa"/>
          </w:tcPr>
          <w:p w14:paraId="21453CB3" w14:textId="3E84DAB5" w:rsidR="00D26C84" w:rsidRPr="00DE5D69" w:rsidRDefault="00D26C84" w:rsidP="00D26C84">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Mental health</w:t>
            </w:r>
          </w:p>
        </w:tc>
      </w:tr>
      <w:tr w:rsidR="00D26C84" w:rsidRPr="00DE5D69" w14:paraId="1E959621" w14:textId="77777777" w:rsidTr="00674F31">
        <w:tc>
          <w:tcPr>
            <w:cnfStyle w:val="001000000000" w:firstRow="0" w:lastRow="0" w:firstColumn="1" w:lastColumn="0" w:oddVBand="0" w:evenVBand="0" w:oddHBand="0" w:evenHBand="0" w:firstRowFirstColumn="0" w:firstRowLastColumn="0" w:lastRowFirstColumn="0" w:lastRowLastColumn="0"/>
            <w:tcW w:w="445" w:type="dxa"/>
          </w:tcPr>
          <w:p w14:paraId="25D37993" w14:textId="66BC4506" w:rsidR="00D26C84" w:rsidRPr="00DE5D69" w:rsidRDefault="00D26C84" w:rsidP="00D26C84">
            <w:pPr>
              <w:rPr>
                <w:rFonts w:cstheme="minorHAnsi"/>
              </w:rPr>
            </w:pPr>
            <w:r w:rsidRPr="00DE5D69">
              <w:rPr>
                <w:rFonts w:cstheme="minorHAnsi"/>
              </w:rPr>
              <w:t>12</w:t>
            </w:r>
          </w:p>
        </w:tc>
        <w:tc>
          <w:tcPr>
            <w:tcW w:w="1710" w:type="dxa"/>
          </w:tcPr>
          <w:p w14:paraId="0C4A1E5E" w14:textId="50213AA4"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November 1</w:t>
            </w:r>
          </w:p>
        </w:tc>
        <w:tc>
          <w:tcPr>
            <w:tcW w:w="2070" w:type="dxa"/>
          </w:tcPr>
          <w:p w14:paraId="3EFE4614" w14:textId="09B9AE7B"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50" w:type="dxa"/>
          </w:tcPr>
          <w:p w14:paraId="127BB76B" w14:textId="699430C8"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Crime and criminal justice</w:t>
            </w:r>
            <w:r w:rsidR="00B529A7">
              <w:rPr>
                <w:rFonts w:cstheme="minorHAnsi"/>
              </w:rPr>
              <w:t xml:space="preserve"> (</w:t>
            </w:r>
            <w:r w:rsidR="00B529A7" w:rsidRPr="00733BA3">
              <w:rPr>
                <w:rFonts w:cstheme="minorHAnsi"/>
                <w:i/>
                <w:iCs/>
              </w:rPr>
              <w:t>flex class</w:t>
            </w:r>
            <w:r w:rsidR="00B529A7">
              <w:rPr>
                <w:rFonts w:cstheme="minorHAnsi"/>
              </w:rPr>
              <w:t>)</w:t>
            </w:r>
          </w:p>
        </w:tc>
        <w:tc>
          <w:tcPr>
            <w:tcW w:w="3150" w:type="dxa"/>
          </w:tcPr>
          <w:p w14:paraId="2F385159" w14:textId="36F1CE23"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Crime and criminal justice</w:t>
            </w:r>
          </w:p>
        </w:tc>
      </w:tr>
      <w:tr w:rsidR="00674F31" w:rsidRPr="00DE5D69" w14:paraId="0D876946" w14:textId="77777777" w:rsidTr="0067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4021C346" w14:textId="21D8CA3E" w:rsidR="00D26C84" w:rsidRPr="00DE5D69" w:rsidRDefault="00D26C84" w:rsidP="00D26C84">
            <w:pPr>
              <w:rPr>
                <w:rFonts w:cstheme="minorHAnsi"/>
              </w:rPr>
            </w:pPr>
            <w:r w:rsidRPr="00DE5D69">
              <w:rPr>
                <w:rFonts w:cstheme="minorHAnsi"/>
              </w:rPr>
              <w:t>13</w:t>
            </w:r>
          </w:p>
        </w:tc>
        <w:tc>
          <w:tcPr>
            <w:tcW w:w="1710" w:type="dxa"/>
          </w:tcPr>
          <w:p w14:paraId="5A232D1C" w14:textId="56CAE0E0" w:rsidR="00D26C84" w:rsidRPr="00DE5D69" w:rsidRDefault="00D26C84" w:rsidP="00D26C84">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November 8</w:t>
            </w:r>
          </w:p>
        </w:tc>
        <w:tc>
          <w:tcPr>
            <w:tcW w:w="2070" w:type="dxa"/>
          </w:tcPr>
          <w:p w14:paraId="318CDD4E" w14:textId="3EC89DC3" w:rsidR="00D26C84" w:rsidRPr="00DE5D69" w:rsidRDefault="00D26C84" w:rsidP="00D26C84">
            <w:pPr>
              <w:cnfStyle w:val="000000100000" w:firstRow="0" w:lastRow="0" w:firstColumn="0" w:lastColumn="0" w:oddVBand="0" w:evenVBand="0" w:oddHBand="1" w:evenHBand="0" w:firstRowFirstColumn="0" w:firstRowLastColumn="0" w:lastRowFirstColumn="0" w:lastRowLastColumn="0"/>
              <w:rPr>
                <w:rFonts w:cstheme="minorHAnsi"/>
              </w:rPr>
            </w:pPr>
          </w:p>
        </w:tc>
        <w:tc>
          <w:tcPr>
            <w:tcW w:w="2250" w:type="dxa"/>
          </w:tcPr>
          <w:p w14:paraId="1286798B" w14:textId="01E2958B" w:rsidR="00D26C84" w:rsidRPr="00DE5D69" w:rsidRDefault="003C5956" w:rsidP="00D26C84">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Crime and criminal justice</w:t>
            </w:r>
          </w:p>
        </w:tc>
        <w:tc>
          <w:tcPr>
            <w:tcW w:w="3150" w:type="dxa"/>
          </w:tcPr>
          <w:p w14:paraId="4BF19253" w14:textId="62416593" w:rsidR="00D26C84" w:rsidRPr="00DE5D69" w:rsidRDefault="003C5956" w:rsidP="00D26C84">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Group presentations</w:t>
            </w:r>
          </w:p>
        </w:tc>
      </w:tr>
      <w:tr w:rsidR="00D26C84" w:rsidRPr="00DE5D69" w14:paraId="61891A71" w14:textId="77777777" w:rsidTr="00674F31">
        <w:tc>
          <w:tcPr>
            <w:cnfStyle w:val="001000000000" w:firstRow="0" w:lastRow="0" w:firstColumn="1" w:lastColumn="0" w:oddVBand="0" w:evenVBand="0" w:oddHBand="0" w:evenHBand="0" w:firstRowFirstColumn="0" w:firstRowLastColumn="0" w:lastRowFirstColumn="0" w:lastRowLastColumn="0"/>
            <w:tcW w:w="445" w:type="dxa"/>
          </w:tcPr>
          <w:p w14:paraId="00752A7E" w14:textId="7E43C048" w:rsidR="00D26C84" w:rsidRPr="00DE5D69" w:rsidRDefault="00D26C84" w:rsidP="00D26C84">
            <w:pPr>
              <w:rPr>
                <w:rFonts w:cstheme="minorHAnsi"/>
              </w:rPr>
            </w:pPr>
            <w:r w:rsidRPr="00DE5D69">
              <w:rPr>
                <w:rFonts w:cstheme="minorHAnsi"/>
              </w:rPr>
              <w:t>14</w:t>
            </w:r>
          </w:p>
        </w:tc>
        <w:tc>
          <w:tcPr>
            <w:tcW w:w="1710" w:type="dxa"/>
          </w:tcPr>
          <w:p w14:paraId="245ADC23" w14:textId="3254F62F"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November 15</w:t>
            </w:r>
          </w:p>
        </w:tc>
        <w:tc>
          <w:tcPr>
            <w:tcW w:w="2070" w:type="dxa"/>
          </w:tcPr>
          <w:p w14:paraId="5D1D467B" w14:textId="1597AEF6"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50" w:type="dxa"/>
          </w:tcPr>
          <w:p w14:paraId="4CBC0321" w14:textId="49685A53"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Group presentations</w:t>
            </w:r>
          </w:p>
        </w:tc>
        <w:tc>
          <w:tcPr>
            <w:tcW w:w="3150" w:type="dxa"/>
          </w:tcPr>
          <w:p w14:paraId="63D0EFB7" w14:textId="280FD52F" w:rsidR="00163F71" w:rsidRPr="00DE5D69" w:rsidRDefault="0078740F" w:rsidP="0078740F">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H</w:t>
            </w:r>
            <w:r w:rsidR="00D26C84" w:rsidRPr="00DE5D69">
              <w:rPr>
                <w:rFonts w:cstheme="minorHAnsi"/>
              </w:rPr>
              <w:t>ousing and homelessness</w:t>
            </w:r>
          </w:p>
        </w:tc>
      </w:tr>
      <w:tr w:rsidR="00674F31" w:rsidRPr="00DE5D69" w14:paraId="7C065F32" w14:textId="77777777" w:rsidTr="0067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1230F8F" w14:textId="0834827F" w:rsidR="00D26C84" w:rsidRPr="00DE5D69" w:rsidRDefault="00D26C84" w:rsidP="00D26C84">
            <w:pPr>
              <w:rPr>
                <w:rFonts w:cstheme="minorHAnsi"/>
              </w:rPr>
            </w:pPr>
            <w:r w:rsidRPr="00DE5D69">
              <w:rPr>
                <w:rFonts w:cstheme="minorHAnsi"/>
              </w:rPr>
              <w:t>15</w:t>
            </w:r>
          </w:p>
        </w:tc>
        <w:tc>
          <w:tcPr>
            <w:tcW w:w="1710" w:type="dxa"/>
          </w:tcPr>
          <w:p w14:paraId="642B6F72" w14:textId="606E4392" w:rsidR="00D26C84" w:rsidRPr="00DE5D69" w:rsidRDefault="00D26C84" w:rsidP="00D26C84">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November 22</w:t>
            </w:r>
          </w:p>
        </w:tc>
        <w:tc>
          <w:tcPr>
            <w:tcW w:w="2070" w:type="dxa"/>
          </w:tcPr>
          <w:p w14:paraId="0F368911" w14:textId="77777777" w:rsidR="00D26C84" w:rsidRPr="00DE5D69" w:rsidRDefault="00D26C84" w:rsidP="00D26C84">
            <w:pPr>
              <w:cnfStyle w:val="000000100000" w:firstRow="0" w:lastRow="0" w:firstColumn="0" w:lastColumn="0" w:oddVBand="0" w:evenVBand="0" w:oddHBand="1" w:evenHBand="0" w:firstRowFirstColumn="0" w:firstRowLastColumn="0" w:lastRowFirstColumn="0" w:lastRowLastColumn="0"/>
              <w:rPr>
                <w:rFonts w:cstheme="minorHAnsi"/>
              </w:rPr>
            </w:pPr>
          </w:p>
        </w:tc>
        <w:tc>
          <w:tcPr>
            <w:tcW w:w="2250" w:type="dxa"/>
          </w:tcPr>
          <w:p w14:paraId="715F5967" w14:textId="39E063B0" w:rsidR="00D26C84" w:rsidRPr="00DE5D69" w:rsidRDefault="0078740F" w:rsidP="00D26C84">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H</w:t>
            </w:r>
            <w:r w:rsidR="00D26C84" w:rsidRPr="00DE5D69">
              <w:rPr>
                <w:rFonts w:cstheme="minorHAnsi"/>
              </w:rPr>
              <w:t>ousing and homelessness</w:t>
            </w:r>
          </w:p>
        </w:tc>
        <w:tc>
          <w:tcPr>
            <w:tcW w:w="3150" w:type="dxa"/>
          </w:tcPr>
          <w:p w14:paraId="71F5C152" w14:textId="4178E3FE" w:rsidR="00D26C84" w:rsidRPr="00DE5D69" w:rsidRDefault="00D26C84" w:rsidP="00D26C84">
            <w:pPr>
              <w:cnfStyle w:val="000000100000" w:firstRow="0" w:lastRow="0" w:firstColumn="0" w:lastColumn="0" w:oddVBand="0" w:evenVBand="0" w:oddHBand="1" w:evenHBand="0" w:firstRowFirstColumn="0" w:firstRowLastColumn="0" w:lastRowFirstColumn="0" w:lastRowLastColumn="0"/>
              <w:rPr>
                <w:rFonts w:cstheme="minorHAnsi"/>
              </w:rPr>
            </w:pPr>
            <w:r w:rsidRPr="00DE5D69">
              <w:rPr>
                <w:rFonts w:cstheme="minorHAnsi"/>
              </w:rPr>
              <w:t>A pandemic special</w:t>
            </w:r>
          </w:p>
        </w:tc>
      </w:tr>
      <w:tr w:rsidR="00D26C84" w:rsidRPr="00DE5D69" w14:paraId="0DBC6C0C" w14:textId="77777777" w:rsidTr="00674F31">
        <w:tc>
          <w:tcPr>
            <w:cnfStyle w:val="001000000000" w:firstRow="0" w:lastRow="0" w:firstColumn="1" w:lastColumn="0" w:oddVBand="0" w:evenVBand="0" w:oddHBand="0" w:evenHBand="0" w:firstRowFirstColumn="0" w:firstRowLastColumn="0" w:lastRowFirstColumn="0" w:lastRowLastColumn="0"/>
            <w:tcW w:w="445" w:type="dxa"/>
          </w:tcPr>
          <w:p w14:paraId="23052651" w14:textId="5D036C54" w:rsidR="00D26C84" w:rsidRPr="00DE5D69" w:rsidRDefault="00D26C84" w:rsidP="00D26C84">
            <w:pPr>
              <w:rPr>
                <w:rFonts w:cstheme="minorHAnsi"/>
              </w:rPr>
            </w:pPr>
            <w:r w:rsidRPr="00DE5D69">
              <w:rPr>
                <w:rFonts w:cstheme="minorHAnsi"/>
              </w:rPr>
              <w:t>16</w:t>
            </w:r>
          </w:p>
        </w:tc>
        <w:tc>
          <w:tcPr>
            <w:tcW w:w="1710" w:type="dxa"/>
          </w:tcPr>
          <w:p w14:paraId="6F627392" w14:textId="2409B22D"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November 29</w:t>
            </w:r>
          </w:p>
        </w:tc>
        <w:tc>
          <w:tcPr>
            <w:tcW w:w="2070" w:type="dxa"/>
          </w:tcPr>
          <w:p w14:paraId="20DA9701" w14:textId="77777777"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50" w:type="dxa"/>
          </w:tcPr>
          <w:p w14:paraId="2EF89CDB" w14:textId="6695FE21"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A pandemic special</w:t>
            </w:r>
          </w:p>
        </w:tc>
        <w:tc>
          <w:tcPr>
            <w:tcW w:w="3150" w:type="dxa"/>
          </w:tcPr>
          <w:p w14:paraId="12A637EE" w14:textId="48264BD9" w:rsidR="00D26C84" w:rsidRPr="00DE5D69" w:rsidRDefault="00D26C84" w:rsidP="00D26C84">
            <w:pPr>
              <w:cnfStyle w:val="000000000000" w:firstRow="0" w:lastRow="0" w:firstColumn="0" w:lastColumn="0" w:oddVBand="0" w:evenVBand="0" w:oddHBand="0" w:evenHBand="0" w:firstRowFirstColumn="0" w:firstRowLastColumn="0" w:lastRowFirstColumn="0" w:lastRowLastColumn="0"/>
              <w:rPr>
                <w:rFonts w:cstheme="minorHAnsi"/>
              </w:rPr>
            </w:pPr>
            <w:r w:rsidRPr="00DE5D69">
              <w:rPr>
                <w:rFonts w:cstheme="minorHAnsi"/>
              </w:rPr>
              <w:t>Last Day of Class</w:t>
            </w:r>
          </w:p>
        </w:tc>
      </w:tr>
    </w:tbl>
    <w:p w14:paraId="29A098EC" w14:textId="1F89E445" w:rsidR="000C05B6" w:rsidRDefault="000C05B6">
      <w:pPr>
        <w:pBdr>
          <w:bottom w:val="single" w:sz="12" w:space="1" w:color="auto"/>
        </w:pBdr>
        <w:rPr>
          <w:rFonts w:cstheme="minorHAnsi"/>
          <w:b/>
          <w:bCs/>
          <w:color w:val="C00000"/>
        </w:rPr>
      </w:pPr>
    </w:p>
    <w:p w14:paraId="4046981E" w14:textId="0EEF11A5" w:rsidR="00C231D6" w:rsidRPr="005E2255" w:rsidRDefault="00C231D6" w:rsidP="005E2255">
      <w:pPr>
        <w:pStyle w:val="BodyText"/>
        <w:shd w:val="clear" w:color="auto" w:fill="FFFFFF" w:themeFill="background1"/>
        <w:spacing w:before="120"/>
        <w:rPr>
          <w:rFonts w:asciiTheme="minorHAnsi" w:hAnsiTheme="minorHAnsi" w:cstheme="minorHAnsi"/>
          <w:b/>
          <w:bCs/>
          <w:color w:val="C00000"/>
          <w:sz w:val="22"/>
          <w:szCs w:val="22"/>
        </w:rPr>
      </w:pPr>
      <w:r w:rsidRPr="005E2255">
        <w:rPr>
          <w:rFonts w:asciiTheme="minorHAnsi" w:hAnsiTheme="minorHAnsi" w:cstheme="minorHAnsi"/>
          <w:b/>
          <w:bCs/>
          <w:color w:val="C00000"/>
          <w:sz w:val="22"/>
          <w:szCs w:val="22"/>
        </w:rPr>
        <w:t xml:space="preserve">Bibliography (as of August </w:t>
      </w:r>
      <w:r w:rsidR="00832358" w:rsidRPr="005E2255">
        <w:rPr>
          <w:rFonts w:asciiTheme="minorHAnsi" w:hAnsiTheme="minorHAnsi" w:cstheme="minorHAnsi"/>
          <w:b/>
          <w:bCs/>
          <w:color w:val="C00000"/>
          <w:sz w:val="22"/>
          <w:szCs w:val="22"/>
        </w:rPr>
        <w:t>23</w:t>
      </w:r>
      <w:r w:rsidRPr="005E2255">
        <w:rPr>
          <w:rFonts w:asciiTheme="minorHAnsi" w:hAnsiTheme="minorHAnsi" w:cstheme="minorHAnsi"/>
          <w:b/>
          <w:bCs/>
          <w:color w:val="C00000"/>
          <w:sz w:val="22"/>
          <w:szCs w:val="22"/>
        </w:rPr>
        <w:t>, 2021)</w:t>
      </w:r>
    </w:p>
    <w:p w14:paraId="0484A06A" w14:textId="1A0A37BE" w:rsidR="003729CE" w:rsidRPr="005E2255" w:rsidRDefault="005E2255" w:rsidP="005E2255">
      <w:pPr>
        <w:pStyle w:val="BodyText"/>
        <w:shd w:val="clear" w:color="auto" w:fill="FFFFFF" w:themeFill="background1"/>
        <w:spacing w:before="120"/>
        <w:rPr>
          <w:rFonts w:asciiTheme="minorHAnsi" w:hAnsiTheme="minorHAnsi" w:cstheme="minorHAnsi"/>
          <w:b/>
          <w:bCs/>
          <w:color w:val="C00000"/>
          <w:sz w:val="22"/>
          <w:szCs w:val="22"/>
        </w:rPr>
      </w:pPr>
      <w:r w:rsidRPr="005E2255">
        <w:rPr>
          <w:rFonts w:asciiTheme="minorHAnsi" w:hAnsiTheme="minorHAnsi" w:cstheme="minorHAnsi"/>
          <w:b/>
          <w:bCs/>
          <w:color w:val="C00000"/>
          <w:sz w:val="22"/>
          <w:szCs w:val="22"/>
        </w:rPr>
        <w:t xml:space="preserve">Useful </w:t>
      </w:r>
      <w:r w:rsidR="003729CE" w:rsidRPr="005E2255">
        <w:rPr>
          <w:rFonts w:asciiTheme="minorHAnsi" w:hAnsiTheme="minorHAnsi" w:cstheme="minorHAnsi"/>
          <w:b/>
          <w:bCs/>
          <w:color w:val="C00000"/>
          <w:sz w:val="22"/>
          <w:szCs w:val="22"/>
        </w:rPr>
        <w:t xml:space="preserve">Reference </w:t>
      </w:r>
    </w:p>
    <w:p w14:paraId="16E0FCA9" w14:textId="1509361D" w:rsidR="00785D10" w:rsidRPr="00BE0FE2" w:rsidRDefault="00785D10" w:rsidP="00EA11A1">
      <w:pPr>
        <w:rPr>
          <w:rFonts w:cstheme="minorHAnsi"/>
          <w:color w:val="000000"/>
        </w:rPr>
      </w:pPr>
      <w:r w:rsidRPr="00BE0FE2">
        <w:rPr>
          <w:rFonts w:cstheme="minorHAnsi"/>
          <w:color w:val="000000"/>
        </w:rPr>
        <w:t xml:space="preserve">The following two books are </w:t>
      </w:r>
      <w:r w:rsidRPr="003C4630">
        <w:rPr>
          <w:rFonts w:cstheme="minorHAnsi"/>
          <w:i/>
          <w:iCs/>
          <w:color w:val="000000"/>
        </w:rPr>
        <w:t>not</w:t>
      </w:r>
      <w:r w:rsidRPr="00BE0FE2">
        <w:rPr>
          <w:rFonts w:cstheme="minorHAnsi"/>
          <w:color w:val="000000"/>
        </w:rPr>
        <w:t xml:space="preserve"> </w:t>
      </w:r>
      <w:r w:rsidR="003930B2" w:rsidRPr="00BE0FE2">
        <w:rPr>
          <w:rFonts w:cstheme="minorHAnsi"/>
          <w:color w:val="000000"/>
        </w:rPr>
        <w:t xml:space="preserve">assigned </w:t>
      </w:r>
      <w:r w:rsidRPr="00BE0FE2">
        <w:rPr>
          <w:rFonts w:cstheme="minorHAnsi"/>
          <w:color w:val="000000"/>
        </w:rPr>
        <w:t>class</w:t>
      </w:r>
      <w:r w:rsidR="003930B2" w:rsidRPr="00BE0FE2">
        <w:rPr>
          <w:rFonts w:cstheme="minorHAnsi"/>
          <w:color w:val="000000"/>
        </w:rPr>
        <w:t xml:space="preserve"> textbooks. Rather they are reference books for some of the basic concepts and statistics that may be useful as supplementary reading. </w:t>
      </w:r>
      <w:r w:rsidR="00BE0FE2" w:rsidRPr="00BE0FE2">
        <w:rPr>
          <w:rFonts w:cstheme="minorHAnsi"/>
          <w:color w:val="000000"/>
        </w:rPr>
        <w:t>You will likely be able to complete this course without using them.</w:t>
      </w:r>
    </w:p>
    <w:p w14:paraId="2D969E4F" w14:textId="77777777" w:rsidR="00E56799" w:rsidRDefault="00E56799" w:rsidP="00E56799">
      <w:r>
        <w:t xml:space="preserve">Jay Bhattacharya, Peter Tu, Timothy Hyde (BTH; 2013). </w:t>
      </w:r>
      <w:r w:rsidRPr="00885307">
        <w:rPr>
          <w:i/>
          <w:iCs/>
        </w:rPr>
        <w:t>Health Economics</w:t>
      </w:r>
      <w:r>
        <w:rPr>
          <w:i/>
          <w:iCs/>
        </w:rPr>
        <w:t xml:space="preserve">. </w:t>
      </w:r>
      <w:r>
        <w:t>Palgrave Macmillan. ISBN: 113702996X, 9781137029966.</w:t>
      </w:r>
    </w:p>
    <w:p w14:paraId="0370A74E" w14:textId="00FEC6E0" w:rsidR="002549B3" w:rsidRDefault="002549B3" w:rsidP="002549B3">
      <w:pPr>
        <w:pStyle w:val="Heading2"/>
        <w:rPr>
          <w:rFonts w:asciiTheme="minorHAnsi" w:eastAsiaTheme="minorHAnsi" w:hAnsiTheme="minorHAnsi" w:cstheme="minorBidi"/>
          <w:b w:val="0"/>
          <w:bCs w:val="0"/>
          <w:color w:val="404040" w:themeColor="text1" w:themeTint="BF"/>
        </w:rPr>
      </w:pPr>
      <w:r w:rsidRPr="003E7481">
        <w:rPr>
          <w:rFonts w:asciiTheme="minorHAnsi" w:eastAsiaTheme="minorHAnsi" w:hAnsiTheme="minorHAnsi" w:cstheme="minorBidi"/>
          <w:b w:val="0"/>
          <w:bCs w:val="0"/>
          <w:color w:val="404040" w:themeColor="text1" w:themeTint="BF"/>
        </w:rPr>
        <w:t xml:space="preserve">Sloan, F. A., &amp; Hsieh, C. R. (2017). </w:t>
      </w:r>
      <w:r w:rsidRPr="002549B3">
        <w:rPr>
          <w:rFonts w:asciiTheme="minorHAnsi" w:eastAsiaTheme="minorHAnsi" w:hAnsiTheme="minorHAnsi" w:cstheme="minorBidi"/>
          <w:b w:val="0"/>
          <w:bCs w:val="0"/>
          <w:i/>
          <w:iCs/>
          <w:color w:val="404040" w:themeColor="text1" w:themeTint="BF"/>
        </w:rPr>
        <w:t>Health Economics</w:t>
      </w:r>
      <w:r w:rsidRPr="003E7481">
        <w:rPr>
          <w:rFonts w:asciiTheme="minorHAnsi" w:eastAsiaTheme="minorHAnsi" w:hAnsiTheme="minorHAnsi" w:cstheme="minorBidi"/>
          <w:b w:val="0"/>
          <w:bCs w:val="0"/>
          <w:color w:val="404040" w:themeColor="text1" w:themeTint="BF"/>
        </w:rPr>
        <w:t>. MIT Press.</w:t>
      </w:r>
      <w:r w:rsidR="00177A45">
        <w:rPr>
          <w:rFonts w:asciiTheme="minorHAnsi" w:eastAsiaTheme="minorHAnsi" w:hAnsiTheme="minorHAnsi" w:cstheme="minorBidi"/>
          <w:b w:val="0"/>
          <w:bCs w:val="0"/>
          <w:color w:val="404040" w:themeColor="text1" w:themeTint="BF"/>
        </w:rPr>
        <w:t xml:space="preserve"> ISBN: </w:t>
      </w:r>
      <w:r w:rsidR="0043595E" w:rsidRPr="0043595E">
        <w:rPr>
          <w:rFonts w:asciiTheme="minorHAnsi" w:eastAsiaTheme="minorHAnsi" w:hAnsiTheme="minorHAnsi" w:cstheme="minorBidi"/>
          <w:b w:val="0"/>
          <w:bCs w:val="0"/>
          <w:color w:val="404040" w:themeColor="text1" w:themeTint="BF"/>
        </w:rPr>
        <w:t>9780262035118</w:t>
      </w:r>
    </w:p>
    <w:p w14:paraId="0AC8E124" w14:textId="2AC34B00" w:rsidR="003729CE" w:rsidRPr="005E2255" w:rsidRDefault="003729CE" w:rsidP="005E2255">
      <w:pPr>
        <w:pStyle w:val="BodyText"/>
        <w:shd w:val="clear" w:color="auto" w:fill="FFFFFF" w:themeFill="background1"/>
        <w:spacing w:before="120"/>
        <w:rPr>
          <w:rFonts w:asciiTheme="minorHAnsi" w:hAnsiTheme="minorHAnsi" w:cstheme="minorHAnsi"/>
          <w:b/>
          <w:bCs/>
          <w:color w:val="C00000"/>
          <w:sz w:val="22"/>
          <w:szCs w:val="22"/>
        </w:rPr>
      </w:pPr>
      <w:r w:rsidRPr="005E2255">
        <w:rPr>
          <w:rFonts w:asciiTheme="minorHAnsi" w:hAnsiTheme="minorHAnsi" w:cstheme="minorHAnsi"/>
          <w:b/>
          <w:bCs/>
          <w:color w:val="C00000"/>
          <w:sz w:val="22"/>
          <w:szCs w:val="22"/>
        </w:rPr>
        <w:t>In-depth readings</w:t>
      </w:r>
    </w:p>
    <w:p w14:paraId="30D39726" w14:textId="6491A380" w:rsidR="0043595E" w:rsidRDefault="0043595E" w:rsidP="00626C2D">
      <w:r>
        <w:t xml:space="preserve">The following are references for </w:t>
      </w:r>
      <w:r w:rsidR="005E2255">
        <w:t xml:space="preserve">class </w:t>
      </w:r>
      <w:r w:rsidR="00CB594E">
        <w:t xml:space="preserve">readings. The syllabus indicates which of these map to which sections of the course. Pay attention in class as to </w:t>
      </w:r>
      <w:r w:rsidR="002F42EF">
        <w:t xml:space="preserve">which are required and what you should be getting from the materials when you do read them. </w:t>
      </w:r>
      <w:r w:rsidR="00070A8B">
        <w:t xml:space="preserve">This list will grow over the duration of the course. </w:t>
      </w:r>
      <w:r w:rsidR="002F42EF">
        <w:t>There’s more here than you need to pass the course.</w:t>
      </w:r>
    </w:p>
    <w:p w14:paraId="4149A649" w14:textId="13D01573" w:rsidR="000404B0" w:rsidRPr="00626C2D" w:rsidRDefault="000404B0" w:rsidP="00626C2D">
      <w:r w:rsidRPr="00626C2D">
        <w:t xml:space="preserve">Anderson, M, </w:t>
      </w:r>
      <w:proofErr w:type="spellStart"/>
      <w:r w:rsidRPr="00626C2D">
        <w:t>Dobkin</w:t>
      </w:r>
      <w:proofErr w:type="spellEnd"/>
      <w:r w:rsidRPr="00626C2D">
        <w:t xml:space="preserve">, C. &amp; Gross, T. (2012). The effect of health insurance coverage on the use of medical services. American Economic Journal: Economic Policy, 4(1), 1-27 </w:t>
      </w:r>
    </w:p>
    <w:p w14:paraId="5D09F774" w14:textId="7885D502" w:rsidR="0027014E" w:rsidRPr="000A0966" w:rsidRDefault="0027014E" w:rsidP="0027014E">
      <w:proofErr w:type="spellStart"/>
      <w:r w:rsidRPr="00A81C3B">
        <w:t>Bala</w:t>
      </w:r>
      <w:proofErr w:type="spellEnd"/>
      <w:r w:rsidRPr="00A81C3B">
        <w:t xml:space="preserve">, M. V., &amp; </w:t>
      </w:r>
      <w:proofErr w:type="spellStart"/>
      <w:r w:rsidRPr="00A81C3B">
        <w:t>Zarkin</w:t>
      </w:r>
      <w:proofErr w:type="spellEnd"/>
      <w:r w:rsidRPr="00A81C3B">
        <w:t xml:space="preserve">, G. A. (2000). Are QALYs an appropriate measure for valuing morbidity in acute diseases?. </w:t>
      </w:r>
      <w:r w:rsidRPr="000A0966">
        <w:t>Health Economics, 9(2), 177-180.</w:t>
      </w:r>
    </w:p>
    <w:p w14:paraId="3634E306" w14:textId="77777777" w:rsidR="0027014E" w:rsidRPr="00D7271A" w:rsidRDefault="0027014E" w:rsidP="0027014E">
      <w:pPr>
        <w:rPr>
          <w:rStyle w:val="Hyperlink"/>
        </w:rPr>
      </w:pPr>
      <w:proofErr w:type="spellStart"/>
      <w:r w:rsidRPr="00DB29D7">
        <w:t>Bala</w:t>
      </w:r>
      <w:proofErr w:type="spellEnd"/>
      <w:r w:rsidRPr="00DB29D7">
        <w:t xml:space="preserve">, M. V., &amp; </w:t>
      </w:r>
      <w:proofErr w:type="spellStart"/>
      <w:r w:rsidRPr="00DB29D7">
        <w:t>Zarkin</w:t>
      </w:r>
      <w:proofErr w:type="spellEnd"/>
      <w:r w:rsidRPr="00DB29D7">
        <w:t xml:space="preserve">, G. A. (2002). Application of cost-effectiveness analysis to multiple products: a practical guide. </w:t>
      </w:r>
      <w:r w:rsidRPr="000A0966">
        <w:t xml:space="preserve">American Journal of Managed Care, 8(3), 211-220. </w:t>
      </w:r>
      <w:hyperlink r:id="rId26" w:history="1">
        <w:r w:rsidRPr="000A0966">
          <w:rPr>
            <w:rStyle w:val="Hyperlink"/>
          </w:rPr>
          <w:t>http://www.med.mcgill.ca/epidemiology/courses/EPIB654/Summer2010/EF/ef%20mgd%20care.pdf</w:t>
        </w:r>
      </w:hyperlink>
    </w:p>
    <w:p w14:paraId="54FD5D79" w14:textId="75DCE472" w:rsidR="00EA11A1" w:rsidRPr="00DE5D69" w:rsidRDefault="00EA11A1" w:rsidP="0027014E">
      <w:pPr>
        <w:rPr>
          <w:rFonts w:cstheme="minorHAnsi"/>
        </w:rPr>
      </w:pPr>
      <w:proofErr w:type="spellStart"/>
      <w:r w:rsidRPr="0027014E">
        <w:rPr>
          <w:rFonts w:cstheme="minorHAnsi"/>
          <w:lang w:val="es-AR"/>
        </w:rPr>
        <w:t>Buchmueller</w:t>
      </w:r>
      <w:proofErr w:type="spellEnd"/>
      <w:r w:rsidRPr="0027014E">
        <w:rPr>
          <w:rFonts w:cstheme="minorHAnsi"/>
          <w:lang w:val="es-AR"/>
        </w:rPr>
        <w:t xml:space="preserve">, TC., </w:t>
      </w:r>
      <w:proofErr w:type="spellStart"/>
      <w:r w:rsidRPr="0027014E">
        <w:rPr>
          <w:rFonts w:cstheme="minorHAnsi"/>
          <w:lang w:val="es-AR"/>
        </w:rPr>
        <w:t>DiNardo</w:t>
      </w:r>
      <w:proofErr w:type="spellEnd"/>
      <w:r w:rsidRPr="0027014E">
        <w:rPr>
          <w:rFonts w:cstheme="minorHAnsi"/>
          <w:lang w:val="es-AR"/>
        </w:rPr>
        <w:t xml:space="preserve">, J., &amp; </w:t>
      </w:r>
      <w:proofErr w:type="spellStart"/>
      <w:r w:rsidRPr="0027014E">
        <w:rPr>
          <w:rFonts w:cstheme="minorHAnsi"/>
          <w:lang w:val="es-AR"/>
        </w:rPr>
        <w:t>Valletta</w:t>
      </w:r>
      <w:proofErr w:type="spellEnd"/>
      <w:r w:rsidRPr="0027014E">
        <w:rPr>
          <w:rFonts w:cstheme="minorHAnsi"/>
          <w:lang w:val="es-AR"/>
        </w:rPr>
        <w:t xml:space="preserve">, R.G. (2011). </w:t>
      </w:r>
      <w:r w:rsidRPr="00DE5D69">
        <w:rPr>
          <w:rFonts w:cstheme="minorHAnsi"/>
        </w:rPr>
        <w:t xml:space="preserve">The effect of an employer health insurance mandate on health insurance coverage and the demand for labor: Evidence from Hawaii. </w:t>
      </w:r>
      <w:r w:rsidRPr="00070A8B">
        <w:rPr>
          <w:rFonts w:cstheme="minorHAnsi"/>
          <w:i/>
          <w:iCs/>
        </w:rPr>
        <w:t>American Economic Journal-Economic Policy</w:t>
      </w:r>
      <w:r w:rsidRPr="00DE5D69">
        <w:rPr>
          <w:rFonts w:cstheme="minorHAnsi"/>
        </w:rPr>
        <w:t xml:space="preserve">, 3(4), 25-51. </w:t>
      </w:r>
    </w:p>
    <w:p w14:paraId="3ED8AA8D" w14:textId="423A4542" w:rsidR="002F7321" w:rsidRPr="00DE5D69" w:rsidRDefault="00EA11A1" w:rsidP="00EA11A1">
      <w:pPr>
        <w:rPr>
          <w:rFonts w:cstheme="minorHAnsi"/>
        </w:rPr>
      </w:pPr>
      <w:r w:rsidRPr="00DE5D69">
        <w:rPr>
          <w:rFonts w:cstheme="minorHAnsi"/>
        </w:rPr>
        <w:t xml:space="preserve">Card, D, </w:t>
      </w:r>
      <w:proofErr w:type="spellStart"/>
      <w:r w:rsidRPr="00DE5D69">
        <w:rPr>
          <w:rFonts w:cstheme="minorHAnsi"/>
        </w:rPr>
        <w:t>Dobkin</w:t>
      </w:r>
      <w:proofErr w:type="spellEnd"/>
      <w:r w:rsidRPr="00DE5D69">
        <w:rPr>
          <w:rFonts w:cstheme="minorHAnsi"/>
        </w:rPr>
        <w:t xml:space="preserve">, C, &amp; Maestas, N. (2008). The impact of nearly universal health insurance coverage on health care utilization: Evidence from Medicare. </w:t>
      </w:r>
      <w:r w:rsidRPr="00070A8B">
        <w:rPr>
          <w:rFonts w:cstheme="minorHAnsi"/>
          <w:i/>
          <w:iCs/>
        </w:rPr>
        <w:t>American Economic Review</w:t>
      </w:r>
      <w:r w:rsidRPr="00DE5D69">
        <w:rPr>
          <w:rFonts w:cstheme="minorHAnsi"/>
        </w:rPr>
        <w:t xml:space="preserve">, 98(5), 2242- 58. </w:t>
      </w:r>
      <w:r w:rsidRPr="00DE5D69">
        <w:rPr>
          <w:rFonts w:cstheme="minorHAnsi"/>
          <w:vertAlign w:val="superscript"/>
        </w:rPr>
        <w:t>TTA!</w:t>
      </w:r>
    </w:p>
    <w:p w14:paraId="452FC162" w14:textId="2991EC6F" w:rsidR="00E019DC" w:rsidRDefault="00E019DC" w:rsidP="00E019DC">
      <w:pPr>
        <w:rPr>
          <w:rFonts w:cstheme="minorHAnsi"/>
          <w:lang w:eastAsia="ja-JP"/>
        </w:rPr>
      </w:pPr>
      <w:r w:rsidRPr="00DE5D69">
        <w:rPr>
          <w:rFonts w:cstheme="minorHAnsi"/>
          <w:lang w:eastAsia="ja-JP"/>
        </w:rPr>
        <w:lastRenderedPageBreak/>
        <w:t xml:space="preserve">Case, </w:t>
      </w:r>
      <w:r w:rsidR="00877E61">
        <w:rPr>
          <w:rFonts w:cstheme="minorHAnsi"/>
          <w:lang w:eastAsia="ja-JP"/>
        </w:rPr>
        <w:t xml:space="preserve">A, &amp; </w:t>
      </w:r>
      <w:r w:rsidRPr="00DE5D69">
        <w:rPr>
          <w:rFonts w:cstheme="minorHAnsi"/>
          <w:lang w:eastAsia="ja-JP"/>
        </w:rPr>
        <w:t xml:space="preserve">Deaton, </w:t>
      </w:r>
      <w:r w:rsidR="00877E61">
        <w:rPr>
          <w:rFonts w:cstheme="minorHAnsi"/>
          <w:lang w:eastAsia="ja-JP"/>
        </w:rPr>
        <w:t xml:space="preserve">A. (2017). </w:t>
      </w:r>
      <w:r w:rsidRPr="00877E61">
        <w:rPr>
          <w:rFonts w:cstheme="minorHAnsi"/>
          <w:i/>
          <w:iCs/>
          <w:lang w:eastAsia="ja-JP"/>
        </w:rPr>
        <w:t>Mortality and Morbidity in the 21st Century</w:t>
      </w:r>
      <w:r w:rsidRPr="00DE5D69">
        <w:rPr>
          <w:rFonts w:cstheme="minorHAnsi"/>
          <w:lang w:eastAsia="ja-JP"/>
        </w:rPr>
        <w:t xml:space="preserve">. Brookings Papers on Economic Activity, Spring 2017. </w:t>
      </w:r>
      <w:hyperlink r:id="rId27" w:history="1">
        <w:r w:rsidR="00DE3761" w:rsidRPr="00FA5CC7">
          <w:rPr>
            <w:rStyle w:val="Hyperlink"/>
            <w:rFonts w:cstheme="minorHAnsi"/>
            <w:lang w:eastAsia="ja-JP"/>
          </w:rPr>
          <w:t>https://www.brookings.edu/wp-content/uploads/2017/03/casedeaton_sp17_finaldraft.pdf</w:t>
        </w:r>
      </w:hyperlink>
      <w:r w:rsidR="00DE3761">
        <w:rPr>
          <w:rFonts w:cstheme="minorHAnsi"/>
          <w:lang w:eastAsia="ja-JP"/>
        </w:rPr>
        <w:t xml:space="preserve"> </w:t>
      </w:r>
      <w:r w:rsidRPr="00DE5D69">
        <w:rPr>
          <w:rFonts w:cstheme="minorHAnsi"/>
          <w:lang w:eastAsia="ja-JP"/>
        </w:rPr>
        <w:t xml:space="preserve">  </w:t>
      </w:r>
    </w:p>
    <w:p w14:paraId="18A2A712" w14:textId="78A0DDE0" w:rsidR="009762F9" w:rsidRDefault="009762F9" w:rsidP="00E019DC">
      <w:pPr>
        <w:rPr>
          <w:rFonts w:cstheme="minorHAnsi"/>
          <w:lang w:eastAsia="ja-JP"/>
        </w:rPr>
      </w:pPr>
      <w:r>
        <w:rPr>
          <w:rFonts w:cstheme="minorHAnsi"/>
          <w:lang w:eastAsia="ja-JP"/>
        </w:rPr>
        <w:t xml:space="preserve">Centers for Disease Control &amp; Prevention (CDC) </w:t>
      </w:r>
      <w:r w:rsidR="009F169E">
        <w:rPr>
          <w:rFonts w:cstheme="minorHAnsi"/>
          <w:lang w:eastAsia="ja-JP"/>
        </w:rPr>
        <w:t xml:space="preserve">(2021) </w:t>
      </w:r>
      <w:r w:rsidR="009F169E" w:rsidRPr="009F169E">
        <w:rPr>
          <w:rFonts w:cstheme="minorHAnsi"/>
          <w:i/>
          <w:iCs/>
          <w:lang w:eastAsia="ja-JP"/>
        </w:rPr>
        <w:t>Health, United States</w:t>
      </w:r>
      <w:r w:rsidR="009F169E">
        <w:rPr>
          <w:rFonts w:cstheme="minorHAnsi"/>
          <w:lang w:eastAsia="ja-JP"/>
        </w:rPr>
        <w:t xml:space="preserve"> </w:t>
      </w:r>
      <w:hyperlink r:id="rId28" w:history="1">
        <w:r w:rsidR="009F169E" w:rsidRPr="005355F6">
          <w:rPr>
            <w:rStyle w:val="Hyperlink"/>
            <w:rFonts w:cstheme="minorHAnsi"/>
            <w:lang w:eastAsia="ja-JP"/>
          </w:rPr>
          <w:t>https://www.cdc.gov/nchs/data/hus/hus19-508.pdf</w:t>
        </w:r>
      </w:hyperlink>
    </w:p>
    <w:p w14:paraId="2359C696" w14:textId="77777777" w:rsidR="00542BA2" w:rsidRPr="00542BA2" w:rsidRDefault="00542BA2" w:rsidP="00542BA2">
      <w:pPr>
        <w:rPr>
          <w:rFonts w:cstheme="minorHAnsi"/>
          <w:lang w:eastAsia="ja-JP"/>
        </w:rPr>
      </w:pPr>
      <w:r w:rsidRPr="00542BA2">
        <w:rPr>
          <w:rFonts w:cstheme="minorHAnsi"/>
          <w:lang w:eastAsia="ja-JP"/>
        </w:rPr>
        <w:t xml:space="preserve">Cowell, A. J., Brown, J. M., Mills, M. J., Bender, R. H., &amp; </w:t>
      </w:r>
      <w:proofErr w:type="spellStart"/>
      <w:r w:rsidRPr="00542BA2">
        <w:rPr>
          <w:rFonts w:cstheme="minorHAnsi"/>
          <w:lang w:eastAsia="ja-JP"/>
        </w:rPr>
        <w:t>Wedehase</w:t>
      </w:r>
      <w:proofErr w:type="spellEnd"/>
      <w:r w:rsidRPr="00542BA2">
        <w:rPr>
          <w:rFonts w:cstheme="minorHAnsi"/>
          <w:lang w:eastAsia="ja-JP"/>
        </w:rPr>
        <w:t xml:space="preserve">, B. J. (2012). Cost-effectiveness analysis of motivational interviewing with feedback to reduce drinking among a sample of college students. </w:t>
      </w:r>
      <w:r w:rsidRPr="002D3F50">
        <w:rPr>
          <w:rFonts w:cstheme="minorHAnsi"/>
          <w:i/>
          <w:iCs/>
          <w:lang w:eastAsia="ja-JP"/>
        </w:rPr>
        <w:t>Journal of Studies on Alcohol and Drugs</w:t>
      </w:r>
      <w:r w:rsidRPr="00542BA2">
        <w:rPr>
          <w:rFonts w:cstheme="minorHAnsi"/>
          <w:lang w:eastAsia="ja-JP"/>
        </w:rPr>
        <w:t>, 73(2), 226-237.</w:t>
      </w:r>
    </w:p>
    <w:p w14:paraId="7D12BA3C" w14:textId="6A658FF1" w:rsidR="005E2255" w:rsidRDefault="009C686E" w:rsidP="00531505">
      <w:pPr>
        <w:rPr>
          <w:rFonts w:cstheme="minorHAnsi"/>
          <w:lang w:eastAsia="ja-JP"/>
        </w:rPr>
      </w:pPr>
      <w:r>
        <w:t xml:space="preserve">Cowell, A. J., Prakash, S., Jones, E., </w:t>
      </w:r>
      <w:proofErr w:type="spellStart"/>
      <w:r>
        <w:t>Barnosky</w:t>
      </w:r>
      <w:proofErr w:type="spellEnd"/>
      <w:r>
        <w:t xml:space="preserve">, A., &amp; </w:t>
      </w:r>
      <w:proofErr w:type="spellStart"/>
      <w:r>
        <w:t>Wedehase</w:t>
      </w:r>
      <w:proofErr w:type="spellEnd"/>
      <w:r>
        <w:t xml:space="preserve">, B. (2018). Behavioral health coverage in the individual market increased after ACA parity requirements. </w:t>
      </w:r>
      <w:r>
        <w:rPr>
          <w:i/>
          <w:iCs/>
        </w:rPr>
        <w:t>Health Affairs</w:t>
      </w:r>
      <w:r>
        <w:t xml:space="preserve">, </w:t>
      </w:r>
      <w:r>
        <w:rPr>
          <w:i/>
          <w:iCs/>
        </w:rPr>
        <w:t>37</w:t>
      </w:r>
      <w:r>
        <w:t>(7), 1153-1159.</w:t>
      </w:r>
      <w:r w:rsidR="009C3350">
        <w:t xml:space="preserve"> </w:t>
      </w:r>
      <w:hyperlink r:id="rId29" w:history="1">
        <w:r w:rsidR="009C3350" w:rsidRPr="00FA5CC7">
          <w:rPr>
            <w:rStyle w:val="Hyperlink"/>
          </w:rPr>
          <w:t>https://www.healthaffairs.org/doi/full/10.1377/hlthaff.2017.1517</w:t>
        </w:r>
      </w:hyperlink>
      <w:r w:rsidR="009C3350">
        <w:t xml:space="preserve"> </w:t>
      </w:r>
    </w:p>
    <w:p w14:paraId="376FD634" w14:textId="01D82185" w:rsidR="00E019DC" w:rsidRDefault="00E019DC" w:rsidP="00531505">
      <w:pPr>
        <w:rPr>
          <w:rFonts w:cstheme="minorHAnsi"/>
          <w:lang w:eastAsia="ja-JP"/>
        </w:rPr>
      </w:pPr>
      <w:r w:rsidRPr="00DE5D69">
        <w:rPr>
          <w:rFonts w:cstheme="minorHAnsi"/>
          <w:lang w:eastAsia="ja-JP"/>
        </w:rPr>
        <w:t xml:space="preserve">Cutler, David M., Angus Deaton, and Adriana </w:t>
      </w:r>
      <w:proofErr w:type="spellStart"/>
      <w:r w:rsidRPr="00DE5D69">
        <w:rPr>
          <w:rFonts w:cstheme="minorHAnsi"/>
          <w:lang w:eastAsia="ja-JP"/>
        </w:rPr>
        <w:t>Lleras-Muney</w:t>
      </w:r>
      <w:proofErr w:type="spellEnd"/>
      <w:r w:rsidRPr="00DE5D69">
        <w:rPr>
          <w:rFonts w:cstheme="minorHAnsi"/>
          <w:lang w:eastAsia="ja-JP"/>
        </w:rPr>
        <w:t xml:space="preserve">, The </w:t>
      </w:r>
      <w:r w:rsidR="00DE3761">
        <w:rPr>
          <w:rFonts w:cstheme="minorHAnsi"/>
          <w:lang w:eastAsia="ja-JP"/>
        </w:rPr>
        <w:t>d</w:t>
      </w:r>
      <w:r w:rsidRPr="00DE5D69">
        <w:rPr>
          <w:rFonts w:cstheme="minorHAnsi"/>
          <w:lang w:eastAsia="ja-JP"/>
        </w:rPr>
        <w:t xml:space="preserve">eterminants of </w:t>
      </w:r>
      <w:r w:rsidR="00DE3761">
        <w:rPr>
          <w:rFonts w:cstheme="minorHAnsi"/>
          <w:lang w:eastAsia="ja-JP"/>
        </w:rPr>
        <w:t>m</w:t>
      </w:r>
      <w:r w:rsidRPr="00DE5D69">
        <w:rPr>
          <w:rFonts w:cstheme="minorHAnsi"/>
          <w:lang w:eastAsia="ja-JP"/>
        </w:rPr>
        <w:t xml:space="preserve">ortality. </w:t>
      </w:r>
      <w:r w:rsidRPr="005B004C">
        <w:rPr>
          <w:rFonts w:cstheme="minorHAnsi"/>
          <w:i/>
          <w:iCs/>
          <w:lang w:eastAsia="ja-JP"/>
        </w:rPr>
        <w:t>Journal of Economic Perspectives</w:t>
      </w:r>
      <w:r w:rsidRPr="00DE5D69">
        <w:rPr>
          <w:rFonts w:cstheme="minorHAnsi"/>
          <w:lang w:eastAsia="ja-JP"/>
        </w:rPr>
        <w:t>, 20(3), Summer 2006, 97-120</w:t>
      </w:r>
      <w:r w:rsidR="00531505" w:rsidRPr="00DE5D69">
        <w:rPr>
          <w:rFonts w:cstheme="minorHAnsi"/>
          <w:lang w:eastAsia="ja-JP"/>
        </w:rPr>
        <w:t>.</w:t>
      </w:r>
    </w:p>
    <w:p w14:paraId="77A7323C" w14:textId="02E08927" w:rsidR="000A7A50" w:rsidRDefault="000A7A50" w:rsidP="000A7A50">
      <w:pPr>
        <w:rPr>
          <w:rFonts w:cstheme="minorHAnsi"/>
          <w:lang w:eastAsia="ja-JP"/>
        </w:rPr>
      </w:pPr>
      <w:r w:rsidRPr="008F67A2">
        <w:rPr>
          <w:rFonts w:cstheme="minorHAnsi"/>
          <w:lang w:eastAsia="ja-JP"/>
        </w:rPr>
        <w:t>Cutler, D. M., &amp; Ly, D. P. (2011). The (paper) work of medicine: understanding international medical costs. </w:t>
      </w:r>
      <w:r w:rsidRPr="00DE3761">
        <w:rPr>
          <w:rFonts w:cstheme="minorHAnsi"/>
          <w:i/>
          <w:iCs/>
          <w:lang w:eastAsia="ja-JP"/>
        </w:rPr>
        <w:t>Journal of Economic Perspectives</w:t>
      </w:r>
      <w:r w:rsidRPr="008F67A2">
        <w:rPr>
          <w:rFonts w:cstheme="minorHAnsi"/>
          <w:lang w:eastAsia="ja-JP"/>
        </w:rPr>
        <w:t>, 25(2), 3-25.</w:t>
      </w:r>
    </w:p>
    <w:p w14:paraId="3FCA24B1" w14:textId="08ADFB8E" w:rsidR="002A58AA" w:rsidRPr="00B26E1E" w:rsidRDefault="002A58AA" w:rsidP="000A7A50">
      <w:r>
        <w:t xml:space="preserve">Case, A. </w:t>
      </w:r>
      <w:r w:rsidR="00B26E1E">
        <w:t xml:space="preserve">(2021). </w:t>
      </w:r>
      <w:r w:rsidR="00B26E1E" w:rsidRPr="00B26E1E">
        <w:rPr>
          <w:i/>
          <w:iCs/>
        </w:rPr>
        <w:t>Deaths of despair</w:t>
      </w:r>
      <w:r w:rsidR="00B26E1E">
        <w:t xml:space="preserve"> (audio). </w:t>
      </w:r>
      <w:r w:rsidR="00B26E1E" w:rsidRPr="00B26E1E">
        <w:t>Social S</w:t>
      </w:r>
      <w:r w:rsidR="00B26E1E">
        <w:t>cience Space.</w:t>
      </w:r>
      <w:r w:rsidR="00B26E1E" w:rsidRPr="00B26E1E">
        <w:t xml:space="preserve"> </w:t>
      </w:r>
      <w:hyperlink r:id="rId30" w:history="1">
        <w:r w:rsidR="00B26E1E" w:rsidRPr="00B26E1E">
          <w:rPr>
            <w:rStyle w:val="Hyperlink"/>
          </w:rPr>
          <w:t>https://www.socialsciencespace.com/2020/05/anne-case-on-deaths-of-despair/</w:t>
        </w:r>
      </w:hyperlink>
      <w:r w:rsidR="00B26E1E" w:rsidRPr="00B26E1E">
        <w:t xml:space="preserve"> </w:t>
      </w:r>
      <w:r w:rsidRPr="00B26E1E">
        <w:t xml:space="preserve"> </w:t>
      </w:r>
    </w:p>
    <w:p w14:paraId="7AFA58CF" w14:textId="70F9F21D" w:rsidR="00003F13" w:rsidRPr="008F67A2" w:rsidRDefault="00003F13" w:rsidP="000A7A50">
      <w:pPr>
        <w:rPr>
          <w:rFonts w:cstheme="minorHAnsi"/>
          <w:lang w:eastAsia="ja-JP"/>
        </w:rPr>
      </w:pPr>
      <w:r>
        <w:t xml:space="preserve">Case, A., &amp; Deaton, A. (2021). Life expectancy in adulthood is falling for those without a BA degree, but as educational gaps have widened, racial gaps have narrowed. </w:t>
      </w:r>
      <w:r>
        <w:rPr>
          <w:i/>
          <w:iCs/>
        </w:rPr>
        <w:t>Proceedings of the National Academy of Sciences</w:t>
      </w:r>
      <w:r>
        <w:t xml:space="preserve">, </w:t>
      </w:r>
      <w:r>
        <w:rPr>
          <w:i/>
          <w:iCs/>
        </w:rPr>
        <w:t>118</w:t>
      </w:r>
      <w:r>
        <w:t>(11).</w:t>
      </w:r>
    </w:p>
    <w:p w14:paraId="24D23988" w14:textId="5FFD5717" w:rsidR="004D49CA" w:rsidRDefault="004D49CA" w:rsidP="004D49CA">
      <w:pPr>
        <w:rPr>
          <w:rFonts w:cstheme="minorHAnsi"/>
        </w:rPr>
      </w:pPr>
      <w:proofErr w:type="spellStart"/>
      <w:r w:rsidRPr="00DE5D69">
        <w:rPr>
          <w:rFonts w:cstheme="minorHAnsi"/>
        </w:rPr>
        <w:t>Dranove</w:t>
      </w:r>
      <w:proofErr w:type="spellEnd"/>
      <w:r w:rsidRPr="00DE5D69">
        <w:rPr>
          <w:rFonts w:cstheme="minorHAnsi"/>
        </w:rPr>
        <w:t xml:space="preserve">, D, Kessler, D, McClellan, M, &amp; Satterthwaite, M. (2003). Is more information better? The effects of “report cards” on health care providers. </w:t>
      </w:r>
      <w:r w:rsidRPr="00B47706">
        <w:rPr>
          <w:rFonts w:cstheme="minorHAnsi"/>
          <w:i/>
          <w:iCs/>
        </w:rPr>
        <w:t>Journal of Political Economy</w:t>
      </w:r>
      <w:r w:rsidRPr="00DE5D69">
        <w:rPr>
          <w:rFonts w:cstheme="minorHAnsi"/>
        </w:rPr>
        <w:t xml:space="preserve">, 111(3), 555- 88. </w:t>
      </w:r>
      <w:r w:rsidRPr="00DE5D69">
        <w:rPr>
          <w:rFonts w:cstheme="minorHAnsi"/>
          <w:vertAlign w:val="superscript"/>
        </w:rPr>
        <w:t>TTA!</w:t>
      </w:r>
      <w:r w:rsidRPr="00DE5D69">
        <w:rPr>
          <w:rFonts w:cstheme="minorHAnsi"/>
        </w:rPr>
        <w:t xml:space="preserve"> </w:t>
      </w:r>
    </w:p>
    <w:p w14:paraId="52583B9F" w14:textId="2C90B678" w:rsidR="009F764D" w:rsidRDefault="009F764D" w:rsidP="00453678">
      <w:r>
        <w:t xml:space="preserve">Dunlap, L. J., </w:t>
      </w:r>
      <w:proofErr w:type="spellStart"/>
      <w:r>
        <w:t>Zarkin</w:t>
      </w:r>
      <w:proofErr w:type="spellEnd"/>
      <w:r>
        <w:t xml:space="preserve">, G. A., &amp; Cowell, A. J. (2008). Examining variation in treatment costs: a cost function for outpatient methadone treatment programs. </w:t>
      </w:r>
      <w:r>
        <w:rPr>
          <w:i/>
          <w:iCs/>
        </w:rPr>
        <w:t>Health Services Research</w:t>
      </w:r>
      <w:r>
        <w:t xml:space="preserve">, </w:t>
      </w:r>
      <w:r>
        <w:rPr>
          <w:i/>
          <w:iCs/>
        </w:rPr>
        <w:t>43</w:t>
      </w:r>
      <w:r>
        <w:t xml:space="preserve">(3), 931-950. </w:t>
      </w:r>
      <w:hyperlink r:id="rId31" w:history="1">
        <w:r w:rsidRPr="00FA5CC7">
          <w:rPr>
            <w:rStyle w:val="Hyperlink"/>
            <w:rFonts w:cstheme="minorHAnsi"/>
          </w:rPr>
          <w:t>https://onlinelibrary.wiley.com/doi/full/10.1111/j.1475-6773.2007.00799.x?casa_token=9Fta3czW9vUAAAAA%3A9LnIHex9Q318JdzduarMng2nMylihs7fmru1q84Th6Kop_370PUiBXv3QqnYFTt1WdRDGtoeDIeV6DiZ</w:t>
        </w:r>
      </w:hyperlink>
    </w:p>
    <w:p w14:paraId="09B0420A" w14:textId="6EBFE244" w:rsidR="00453678" w:rsidRPr="000A0966" w:rsidRDefault="00453678" w:rsidP="00453678">
      <w:proofErr w:type="spellStart"/>
      <w:r w:rsidRPr="00D060DC">
        <w:t>Einav</w:t>
      </w:r>
      <w:proofErr w:type="spellEnd"/>
      <w:r w:rsidRPr="00D060DC">
        <w:t xml:space="preserve">, L., &amp; Finkelstein, A. (2011) </w:t>
      </w:r>
      <w:r>
        <w:t xml:space="preserve">Selection in insurance markets: theory and empirics in pictures. </w:t>
      </w:r>
      <w:r w:rsidR="005972CA" w:rsidRPr="005972CA">
        <w:rPr>
          <w:i/>
          <w:iCs/>
        </w:rPr>
        <w:t>Journal of Economic Perspectives</w:t>
      </w:r>
      <w:r>
        <w:t xml:space="preserve">. 25 (1): 115-138. </w:t>
      </w:r>
      <w:hyperlink r:id="rId32" w:history="1">
        <w:r w:rsidRPr="003B6046">
          <w:rPr>
            <w:rStyle w:val="Hyperlink"/>
          </w:rPr>
          <w:t>https://pubs.aeaweb.org/doi/pdfplus/10.1257/jep.25.1.115</w:t>
        </w:r>
      </w:hyperlink>
      <w:r w:rsidRPr="000A0966">
        <w:t xml:space="preserve"> </w:t>
      </w:r>
    </w:p>
    <w:p w14:paraId="49E22637" w14:textId="77777777" w:rsidR="00453678" w:rsidRPr="0029586D" w:rsidRDefault="00453678" w:rsidP="00453678">
      <w:pPr>
        <w:rPr>
          <w:vertAlign w:val="superscript"/>
        </w:rPr>
      </w:pPr>
      <w:proofErr w:type="spellStart"/>
      <w:r w:rsidRPr="00E77A28">
        <w:t>Einav</w:t>
      </w:r>
      <w:proofErr w:type="spellEnd"/>
      <w:r w:rsidRPr="00E77A28">
        <w:t xml:space="preserve">, L., &amp; Finkelstein, A. (2018). Moral hazard in health insurance: What we know and how we know it. </w:t>
      </w:r>
      <w:r w:rsidRPr="00340075">
        <w:rPr>
          <w:i/>
          <w:iCs/>
        </w:rPr>
        <w:t>Journal of the European Economic Association</w:t>
      </w:r>
      <w:r w:rsidRPr="00E77A28">
        <w:t>, 16(4), 957-982.</w:t>
      </w:r>
      <w:r w:rsidRPr="0029586D">
        <w:rPr>
          <w:vertAlign w:val="superscript"/>
        </w:rPr>
        <w:t xml:space="preserve"> </w:t>
      </w:r>
      <w:r w:rsidRPr="003249EE">
        <w:rPr>
          <w:vertAlign w:val="superscript"/>
        </w:rPr>
        <w:t>T</w:t>
      </w:r>
      <w:r>
        <w:rPr>
          <w:vertAlign w:val="superscript"/>
        </w:rPr>
        <w:t>TA</w:t>
      </w:r>
      <w:r w:rsidRPr="003249EE">
        <w:rPr>
          <w:vertAlign w:val="superscript"/>
        </w:rPr>
        <w:t>!</w:t>
      </w:r>
    </w:p>
    <w:p w14:paraId="791804C9" w14:textId="4492DA6F" w:rsidR="00CF7949" w:rsidRDefault="00CF7949" w:rsidP="00CF7949">
      <w:r w:rsidRPr="000A67B0">
        <w:t xml:space="preserve">Fenwick, E., O'Brien, B. J., &amp; Briggs, A. (2004). Cost‐effectiveness acceptability curves–facts, </w:t>
      </w:r>
      <w:proofErr w:type="gramStart"/>
      <w:r w:rsidRPr="000A67B0">
        <w:t>fallacies</w:t>
      </w:r>
      <w:proofErr w:type="gramEnd"/>
      <w:r w:rsidRPr="000A67B0">
        <w:t xml:space="preserve"> and frequently asked questions. </w:t>
      </w:r>
      <w:r w:rsidRPr="00340075">
        <w:rPr>
          <w:i/>
          <w:iCs/>
        </w:rPr>
        <w:t>Health Economics</w:t>
      </w:r>
      <w:r w:rsidRPr="000A67B0">
        <w:t>, 13(5), 405-415.</w:t>
      </w:r>
    </w:p>
    <w:p w14:paraId="3B5F6ABA" w14:textId="77777777" w:rsidR="00C80DB1" w:rsidRDefault="00C80DB1" w:rsidP="00C80DB1">
      <w:r w:rsidRPr="00CC7F77">
        <w:t xml:space="preserve">Finkelstein, A., Taubman, S., Wright, B., Bernstein, M., Gruber, J., Newhouse, J. P., ... &amp; Oregon Health Study Group. (2012). The Oregon health insurance experiment: evidence from the first year. </w:t>
      </w:r>
      <w:r w:rsidRPr="006833CF">
        <w:rPr>
          <w:i/>
          <w:iCs/>
        </w:rPr>
        <w:t>The Quarterly Journal of Economics</w:t>
      </w:r>
      <w:r w:rsidRPr="00CC7F77">
        <w:t>, 127(3), 1057-1106.</w:t>
      </w:r>
      <w:r w:rsidRPr="008C25E6">
        <w:rPr>
          <w:vertAlign w:val="superscript"/>
        </w:rPr>
        <w:t>TTA!</w:t>
      </w:r>
      <w:r>
        <w:t xml:space="preserve"> </w:t>
      </w:r>
      <w:hyperlink r:id="rId33" w:history="1">
        <w:r w:rsidRPr="00DD5E69">
          <w:rPr>
            <w:rStyle w:val="Hyperlink"/>
          </w:rPr>
          <w:t>https://www.nber.org/system/files/working_papers/w17190/w17190.pdf</w:t>
        </w:r>
      </w:hyperlink>
    </w:p>
    <w:p w14:paraId="7384C1F0" w14:textId="23276C88" w:rsidR="000531AA" w:rsidRDefault="000531AA" w:rsidP="000531AA">
      <w:pPr>
        <w:rPr>
          <w:vertAlign w:val="superscript"/>
        </w:rPr>
      </w:pPr>
      <w:proofErr w:type="spellStart"/>
      <w:r w:rsidRPr="00C4732D">
        <w:lastRenderedPageBreak/>
        <w:t>Geruso</w:t>
      </w:r>
      <w:proofErr w:type="spellEnd"/>
      <w:r w:rsidRPr="00C4732D">
        <w:t xml:space="preserve">, </w:t>
      </w:r>
      <w:r>
        <w:t xml:space="preserve">M. &amp; </w:t>
      </w:r>
      <w:r w:rsidRPr="00C4732D">
        <w:t>Layton</w:t>
      </w:r>
      <w:r>
        <w:t>, T.J. (2017).</w:t>
      </w:r>
      <w:r w:rsidRPr="00C4732D">
        <w:t xml:space="preserve"> Selection in </w:t>
      </w:r>
      <w:r>
        <w:t>h</w:t>
      </w:r>
      <w:r w:rsidRPr="00C4732D">
        <w:t xml:space="preserve">ealth </w:t>
      </w:r>
      <w:r>
        <w:t>i</w:t>
      </w:r>
      <w:r w:rsidRPr="00C4732D">
        <w:t xml:space="preserve">nsurance </w:t>
      </w:r>
      <w:r>
        <w:t>m</w:t>
      </w:r>
      <w:r w:rsidRPr="00C4732D">
        <w:t xml:space="preserve">arkets and </w:t>
      </w:r>
      <w:r>
        <w:t>i</w:t>
      </w:r>
      <w:r w:rsidRPr="00C4732D">
        <w:t xml:space="preserve">ts </w:t>
      </w:r>
      <w:r>
        <w:t>p</w:t>
      </w:r>
      <w:r w:rsidRPr="00C4732D">
        <w:t xml:space="preserve">olicy </w:t>
      </w:r>
      <w:r>
        <w:t>r</w:t>
      </w:r>
      <w:r w:rsidRPr="00C4732D">
        <w:t xml:space="preserve">emedies. </w:t>
      </w:r>
      <w:r w:rsidRPr="00471219">
        <w:rPr>
          <w:i/>
          <w:iCs/>
        </w:rPr>
        <w:t>J</w:t>
      </w:r>
      <w:r w:rsidR="006833CF">
        <w:rPr>
          <w:i/>
          <w:iCs/>
        </w:rPr>
        <w:t xml:space="preserve">ournal of </w:t>
      </w:r>
      <w:r w:rsidRPr="00471219">
        <w:rPr>
          <w:i/>
          <w:iCs/>
        </w:rPr>
        <w:t>E</w:t>
      </w:r>
      <w:r w:rsidR="006833CF">
        <w:rPr>
          <w:i/>
          <w:iCs/>
        </w:rPr>
        <w:t xml:space="preserve">conomic </w:t>
      </w:r>
      <w:r w:rsidRPr="00471219">
        <w:rPr>
          <w:i/>
          <w:iCs/>
        </w:rPr>
        <w:t>P</w:t>
      </w:r>
      <w:r w:rsidR="006833CF">
        <w:rPr>
          <w:i/>
          <w:iCs/>
        </w:rPr>
        <w:t>erspectives</w:t>
      </w:r>
      <w:r w:rsidRPr="00C4732D">
        <w:t xml:space="preserve"> 31, no. 4 (2017): 23-50.</w:t>
      </w:r>
      <w:r w:rsidRPr="003249EE">
        <w:rPr>
          <w:vertAlign w:val="superscript"/>
        </w:rPr>
        <w:t>T</w:t>
      </w:r>
      <w:r>
        <w:rPr>
          <w:vertAlign w:val="superscript"/>
        </w:rPr>
        <w:t>TA</w:t>
      </w:r>
      <w:r w:rsidRPr="003249EE">
        <w:rPr>
          <w:vertAlign w:val="superscript"/>
        </w:rPr>
        <w:t>!</w:t>
      </w:r>
    </w:p>
    <w:p w14:paraId="4D3C3661" w14:textId="0DE357F4" w:rsidR="007105A4" w:rsidRDefault="007105A4" w:rsidP="007105A4">
      <w:r>
        <w:t xml:space="preserve">Hartman, M., Martin, A.B., Benson, J., and Catlin, A. et al. (2018). </w:t>
      </w:r>
      <w:r w:rsidRPr="000726FC">
        <w:t xml:space="preserve">National </w:t>
      </w:r>
      <w:r>
        <w:t>h</w:t>
      </w:r>
      <w:r w:rsidRPr="000726FC">
        <w:t xml:space="preserve">ealth </w:t>
      </w:r>
      <w:r>
        <w:t>c</w:t>
      </w:r>
      <w:r w:rsidRPr="000726FC">
        <w:t xml:space="preserve">are </w:t>
      </w:r>
      <w:r>
        <w:t>s</w:t>
      </w:r>
      <w:r w:rsidRPr="000726FC">
        <w:t xml:space="preserve">pending </w:t>
      </w:r>
      <w:r>
        <w:t>i</w:t>
      </w:r>
      <w:r w:rsidRPr="000726FC">
        <w:t xml:space="preserve">n 2018: Growth </w:t>
      </w:r>
      <w:r>
        <w:t>d</w:t>
      </w:r>
      <w:r w:rsidRPr="000726FC">
        <w:t xml:space="preserve">riven </w:t>
      </w:r>
      <w:r>
        <w:t>b</w:t>
      </w:r>
      <w:r w:rsidRPr="000726FC">
        <w:t xml:space="preserve">y </w:t>
      </w:r>
      <w:r>
        <w:t>a</w:t>
      </w:r>
      <w:r w:rsidRPr="000726FC">
        <w:t xml:space="preserve">ccelerations In Medicare </w:t>
      </w:r>
      <w:r>
        <w:t>and p</w:t>
      </w:r>
      <w:r w:rsidRPr="000726FC">
        <w:t xml:space="preserve">rivate </w:t>
      </w:r>
      <w:r>
        <w:t>i</w:t>
      </w:r>
      <w:r w:rsidRPr="000726FC">
        <w:t xml:space="preserve">nsurance </w:t>
      </w:r>
      <w:r>
        <w:t>s</w:t>
      </w:r>
      <w:r w:rsidRPr="000726FC">
        <w:t>pending</w:t>
      </w:r>
      <w:r>
        <w:t xml:space="preserve">. </w:t>
      </w:r>
      <w:r w:rsidRPr="006833CF">
        <w:rPr>
          <w:i/>
          <w:iCs/>
        </w:rPr>
        <w:t>Health Affairs</w:t>
      </w:r>
      <w:r>
        <w:t xml:space="preserve">, v.37, no. 1 </w:t>
      </w:r>
    </w:p>
    <w:p w14:paraId="553B6718" w14:textId="7689A5A9" w:rsidR="00D37653" w:rsidRDefault="00D37653" w:rsidP="002321B5">
      <w:r>
        <w:t xml:space="preserve">Jayachandran, S; </w:t>
      </w:r>
      <w:proofErr w:type="spellStart"/>
      <w:r>
        <w:t>Lleras-Muney</w:t>
      </w:r>
      <w:proofErr w:type="spellEnd"/>
      <w:r>
        <w:t>, A. &amp; Smith, K.V. (2010). Modern medicine and the Twentieth Century decline in mortality: evidence on the impact of sulfa drugs. American Economic Journal-Applied Economics, 2(2), 118- 46.</w:t>
      </w:r>
    </w:p>
    <w:p w14:paraId="41D56AA9" w14:textId="19A538C3" w:rsidR="00E50651" w:rsidRDefault="00E50651" w:rsidP="002321B5">
      <w:pPr>
        <w:rPr>
          <w:rFonts w:cstheme="minorHAnsi"/>
        </w:rPr>
      </w:pPr>
      <w:r w:rsidRPr="00633774">
        <w:t xml:space="preserve">Jones, DJ. </w:t>
      </w:r>
      <w:r>
        <w:t xml:space="preserve">(2012). Primary prevention and health outcomes: treatment of residential lead-based paint hazards and the prevalence of childhood lead poisoning. </w:t>
      </w:r>
      <w:r w:rsidRPr="007B3954">
        <w:rPr>
          <w:i/>
          <w:iCs/>
        </w:rPr>
        <w:t>Journal of Urban Economics</w:t>
      </w:r>
      <w:r>
        <w:t>, 71(1), 151- 64.</w:t>
      </w:r>
    </w:p>
    <w:p w14:paraId="1502F7E8" w14:textId="5F8D1116" w:rsidR="00F205EC" w:rsidRPr="002321B5" w:rsidRDefault="0023259C" w:rsidP="002321B5">
      <w:pPr>
        <w:rPr>
          <w:rFonts w:cstheme="minorHAnsi"/>
        </w:rPr>
      </w:pPr>
      <w:proofErr w:type="spellStart"/>
      <w:r w:rsidRPr="0023259C">
        <w:rPr>
          <w:rFonts w:cstheme="minorHAnsi"/>
        </w:rPr>
        <w:t>Karoly</w:t>
      </w:r>
      <w:proofErr w:type="spellEnd"/>
      <w:r w:rsidRPr="0023259C">
        <w:rPr>
          <w:rFonts w:cstheme="minorHAnsi"/>
        </w:rPr>
        <w:t xml:space="preserve">, L. A., Kilburn, M. R., &amp; Cannon, J. (2005). </w:t>
      </w:r>
      <w:r w:rsidRPr="007B3954">
        <w:rPr>
          <w:rFonts w:cstheme="minorHAnsi"/>
          <w:i/>
          <w:iCs/>
        </w:rPr>
        <w:t>Proven benefits of early childhood interventions</w:t>
      </w:r>
      <w:r w:rsidRPr="0023259C">
        <w:rPr>
          <w:rFonts w:cstheme="minorHAnsi"/>
        </w:rPr>
        <w:t>.</w:t>
      </w:r>
      <w:r w:rsidR="002321B5" w:rsidRPr="002321B5">
        <w:rPr>
          <w:rFonts w:cstheme="minorHAnsi"/>
        </w:rPr>
        <w:t xml:space="preserve"> RAND report. </w:t>
      </w:r>
      <w:hyperlink r:id="rId34" w:history="1">
        <w:r w:rsidR="002321B5" w:rsidRPr="002321B5">
          <w:t>https://www.rand.org/pubs/research_briefs/RB9145.html</w:t>
        </w:r>
      </w:hyperlink>
      <w:r w:rsidR="008C29C5">
        <w:rPr>
          <w:rFonts w:cstheme="minorHAnsi"/>
        </w:rPr>
        <w:t xml:space="preserve"> (also download related full brief)</w:t>
      </w:r>
    </w:p>
    <w:p w14:paraId="4FC26FAA" w14:textId="319885F7" w:rsidR="00B5796C" w:rsidRDefault="00B5796C" w:rsidP="001357C3">
      <w:r>
        <w:t xml:space="preserve">Kim, J.J., &amp; Goldie, S.J. 2008. Health and economic implications of HPV vaccination in the United States. </w:t>
      </w:r>
      <w:r w:rsidRPr="007B3954">
        <w:rPr>
          <w:i/>
          <w:iCs/>
        </w:rPr>
        <w:t>New England Journal of Medicine</w:t>
      </w:r>
      <w:r>
        <w:t>, 359(8), 821- 32.</w:t>
      </w:r>
    </w:p>
    <w:p w14:paraId="43582D85" w14:textId="594E4939" w:rsidR="002D3F50" w:rsidRDefault="00DF31CD" w:rsidP="001357C3">
      <w:pPr>
        <w:rPr>
          <w:rFonts w:cstheme="minorHAnsi"/>
        </w:rPr>
      </w:pPr>
      <w:r>
        <w:t xml:space="preserve">Kleiner, M. M. (2000). Occupational licensing. </w:t>
      </w:r>
      <w:r>
        <w:rPr>
          <w:i/>
          <w:iCs/>
        </w:rPr>
        <w:t>Journal of Economic Perspectives</w:t>
      </w:r>
      <w:r>
        <w:t xml:space="preserve">, </w:t>
      </w:r>
      <w:r>
        <w:rPr>
          <w:i/>
          <w:iCs/>
        </w:rPr>
        <w:t>14</w:t>
      </w:r>
      <w:r>
        <w:t xml:space="preserve">(4), 189-202. </w:t>
      </w:r>
      <w:hyperlink r:id="rId35" w:history="1">
        <w:r w:rsidR="002D3F50" w:rsidRPr="00FA5CC7">
          <w:rPr>
            <w:rStyle w:val="Hyperlink"/>
            <w:rFonts w:cstheme="minorHAnsi"/>
          </w:rPr>
          <w:t>https://pubs.aeaweb.org/doi/pdfplus/10.1257/jep.14.4.189</w:t>
        </w:r>
      </w:hyperlink>
      <w:r w:rsidR="002D3F50">
        <w:rPr>
          <w:rFonts w:cstheme="minorHAnsi"/>
        </w:rPr>
        <w:t xml:space="preserve"> </w:t>
      </w:r>
    </w:p>
    <w:p w14:paraId="591414EB" w14:textId="398C788A" w:rsidR="00173C84" w:rsidRDefault="00532BD6" w:rsidP="001357C3">
      <w:r w:rsidRPr="00532BD6">
        <w:t xml:space="preserve">Kravitz, </w:t>
      </w:r>
      <w:r>
        <w:t>RL</w:t>
      </w:r>
      <w:r w:rsidRPr="00532BD6">
        <w:t>.</w:t>
      </w:r>
      <w:r>
        <w:t xml:space="preserve"> (2014)</w:t>
      </w:r>
      <w:r w:rsidR="00173C84">
        <w:t>. P</w:t>
      </w:r>
      <w:r w:rsidR="00173C84" w:rsidRPr="00532BD6">
        <w:t>hysician incomes in the twenty-first century: time for a new social contract</w:t>
      </w:r>
      <w:r w:rsidRPr="00532BD6">
        <w:t xml:space="preserve">.” </w:t>
      </w:r>
      <w:r w:rsidRPr="00532BD6">
        <w:rPr>
          <w:i/>
          <w:iCs/>
        </w:rPr>
        <w:t>Journal of General Internal Medicine</w:t>
      </w:r>
      <w:r w:rsidRPr="00532BD6">
        <w:t xml:space="preserve">, 29, (2014): 1425-1426.  </w:t>
      </w:r>
      <w:hyperlink r:id="rId36" w:history="1">
        <w:r w:rsidR="00173C84" w:rsidRPr="00FA5CC7">
          <w:rPr>
            <w:rStyle w:val="Hyperlink"/>
          </w:rPr>
          <w:t>https://link.springer.com/article/10.1007%2Fs11606-014-3012-9</w:t>
        </w:r>
      </w:hyperlink>
      <w:r w:rsidR="00173C84">
        <w:t xml:space="preserve"> </w:t>
      </w:r>
      <w:r w:rsidRPr="00532BD6">
        <w:tab/>
      </w:r>
    </w:p>
    <w:p w14:paraId="1CAE172F" w14:textId="267B08FA" w:rsidR="001357C3" w:rsidRPr="00DE5D69" w:rsidRDefault="001357C3" w:rsidP="001357C3">
      <w:pPr>
        <w:rPr>
          <w:rFonts w:cstheme="minorHAnsi"/>
        </w:rPr>
      </w:pPr>
      <w:r w:rsidRPr="00DE5D69">
        <w:rPr>
          <w:rFonts w:cstheme="minorHAnsi"/>
        </w:rPr>
        <w:t xml:space="preserve">Kruk, M., </w:t>
      </w:r>
      <w:proofErr w:type="spellStart"/>
      <w:r w:rsidRPr="00DE5D69">
        <w:rPr>
          <w:rFonts w:cstheme="minorHAnsi"/>
        </w:rPr>
        <w:t>Goldmann</w:t>
      </w:r>
      <w:proofErr w:type="spellEnd"/>
      <w:r w:rsidRPr="00DE5D69">
        <w:rPr>
          <w:rFonts w:cstheme="minorHAnsi"/>
        </w:rPr>
        <w:t xml:space="preserve">, E., &amp; Galea, S. (2009). Borrowing and selling to pay for health care in Low- and Middle-income countries. </w:t>
      </w:r>
      <w:r w:rsidRPr="00DE5D69">
        <w:rPr>
          <w:rFonts w:cstheme="minorHAnsi"/>
          <w:i/>
          <w:iCs/>
        </w:rPr>
        <w:t>Health Affairs</w:t>
      </w:r>
      <w:r w:rsidRPr="00DE5D69">
        <w:rPr>
          <w:rFonts w:cstheme="minorHAnsi"/>
        </w:rPr>
        <w:t>. July/August, 28(4) 1056- 1066.</w:t>
      </w:r>
    </w:p>
    <w:p w14:paraId="18395BB8" w14:textId="77777777" w:rsidR="00AE64A9" w:rsidRPr="00DE5D69" w:rsidRDefault="00AE64A9" w:rsidP="00AE64A9">
      <w:pPr>
        <w:pStyle w:val="Heading2"/>
        <w:rPr>
          <w:rFonts w:asciiTheme="minorHAnsi" w:eastAsiaTheme="minorHAnsi" w:hAnsiTheme="minorHAnsi" w:cstheme="minorHAnsi"/>
          <w:b w:val="0"/>
          <w:bCs w:val="0"/>
          <w:color w:val="404040" w:themeColor="text1" w:themeTint="BF"/>
        </w:rPr>
      </w:pPr>
      <w:r w:rsidRPr="00DE5D69">
        <w:rPr>
          <w:rFonts w:asciiTheme="minorHAnsi" w:eastAsiaTheme="minorHAnsi" w:hAnsiTheme="minorHAnsi" w:cstheme="minorHAnsi"/>
          <w:b w:val="0"/>
          <w:bCs w:val="0"/>
          <w:color w:val="404040" w:themeColor="text1" w:themeTint="BF"/>
        </w:rPr>
        <w:t>Newhouse</w:t>
      </w:r>
      <w:r>
        <w:rPr>
          <w:rFonts w:asciiTheme="minorHAnsi" w:eastAsiaTheme="minorHAnsi" w:hAnsiTheme="minorHAnsi" w:cstheme="minorHAnsi"/>
          <w:b w:val="0"/>
          <w:bCs w:val="0"/>
          <w:color w:val="404040" w:themeColor="text1" w:themeTint="BF"/>
        </w:rPr>
        <w:t xml:space="preserve">, </w:t>
      </w:r>
      <w:proofErr w:type="gramStart"/>
      <w:r>
        <w:rPr>
          <w:rFonts w:asciiTheme="minorHAnsi" w:eastAsiaTheme="minorHAnsi" w:hAnsiTheme="minorHAnsi" w:cstheme="minorHAnsi"/>
          <w:b w:val="0"/>
          <w:bCs w:val="0"/>
          <w:color w:val="404040" w:themeColor="text1" w:themeTint="BF"/>
        </w:rPr>
        <w:t>J.P.</w:t>
      </w:r>
      <w:proofErr w:type="gramEnd"/>
      <w:r w:rsidRPr="00DE5D69">
        <w:rPr>
          <w:rFonts w:asciiTheme="minorHAnsi" w:eastAsiaTheme="minorHAnsi" w:hAnsiTheme="minorHAnsi" w:cstheme="minorHAnsi"/>
          <w:b w:val="0"/>
          <w:bCs w:val="0"/>
          <w:color w:val="404040" w:themeColor="text1" w:themeTint="BF"/>
        </w:rPr>
        <w:t xml:space="preserve"> and the Health Insurance Experiment Group. </w:t>
      </w:r>
      <w:r w:rsidRPr="00AE64A9">
        <w:rPr>
          <w:rFonts w:asciiTheme="minorHAnsi" w:eastAsiaTheme="minorHAnsi" w:hAnsiTheme="minorHAnsi" w:cstheme="minorHAnsi"/>
          <w:b w:val="0"/>
          <w:bCs w:val="0"/>
          <w:i/>
          <w:iCs/>
          <w:color w:val="404040" w:themeColor="text1" w:themeTint="BF"/>
        </w:rPr>
        <w:t>Free for All? Lessons from the RAND Health Insurance Experiment</w:t>
      </w:r>
      <w:r w:rsidRPr="00DE5D69">
        <w:rPr>
          <w:rFonts w:asciiTheme="minorHAnsi" w:eastAsiaTheme="minorHAnsi" w:hAnsiTheme="minorHAnsi" w:cstheme="minorHAnsi"/>
          <w:b w:val="0"/>
          <w:bCs w:val="0"/>
          <w:color w:val="404040" w:themeColor="text1" w:themeTint="BF"/>
        </w:rPr>
        <w:t>. Cambridge: Harvard University Press, 1996.</w:t>
      </w:r>
    </w:p>
    <w:p w14:paraId="0B4EC538" w14:textId="587C10AA" w:rsidR="00733E05" w:rsidRDefault="00733E05" w:rsidP="00B01A63">
      <w:pPr>
        <w:rPr>
          <w:rFonts w:cstheme="minorHAnsi"/>
        </w:rPr>
      </w:pPr>
      <w:r w:rsidRPr="00DE5D69">
        <w:rPr>
          <w:rFonts w:cstheme="minorHAnsi"/>
        </w:rPr>
        <w:t xml:space="preserve">Sen, Amartya K. Why Health Equity? </w:t>
      </w:r>
      <w:r w:rsidRPr="007B3954">
        <w:rPr>
          <w:rFonts w:cstheme="minorHAnsi"/>
          <w:i/>
          <w:iCs/>
        </w:rPr>
        <w:t>Health Economics</w:t>
      </w:r>
      <w:r w:rsidRPr="00DE5D69">
        <w:rPr>
          <w:rFonts w:cstheme="minorHAnsi"/>
        </w:rPr>
        <w:t xml:space="preserve"> 11(2002): 659-666.</w:t>
      </w:r>
    </w:p>
    <w:p w14:paraId="2A9826BF" w14:textId="31231861" w:rsidR="00ED5BCA" w:rsidRDefault="00B96F0F" w:rsidP="00B01A63">
      <w:pPr>
        <w:rPr>
          <w:rFonts w:cstheme="minorHAnsi"/>
        </w:rPr>
      </w:pPr>
      <w:proofErr w:type="spellStart"/>
      <w:r w:rsidRPr="00B96F0F">
        <w:rPr>
          <w:rFonts w:cstheme="minorHAnsi"/>
        </w:rPr>
        <w:t>Stange</w:t>
      </w:r>
      <w:proofErr w:type="spellEnd"/>
      <w:r w:rsidRPr="00B96F0F">
        <w:rPr>
          <w:rFonts w:cstheme="minorHAnsi"/>
        </w:rPr>
        <w:t xml:space="preserve">, K. (2014). How does provider supply and regulation influence health care markets? Evidence from nurse practitioners and physician assistants. </w:t>
      </w:r>
      <w:r w:rsidRPr="009F378C">
        <w:rPr>
          <w:rFonts w:cstheme="minorHAnsi"/>
          <w:i/>
          <w:iCs/>
        </w:rPr>
        <w:t xml:space="preserve">Journal of </w:t>
      </w:r>
      <w:r w:rsidR="009F378C">
        <w:rPr>
          <w:rFonts w:cstheme="minorHAnsi"/>
          <w:i/>
          <w:iCs/>
        </w:rPr>
        <w:t>H</w:t>
      </w:r>
      <w:r w:rsidRPr="009F378C">
        <w:rPr>
          <w:rFonts w:cstheme="minorHAnsi"/>
          <w:i/>
          <w:iCs/>
        </w:rPr>
        <w:t xml:space="preserve">ealth </w:t>
      </w:r>
      <w:r w:rsidR="009F378C">
        <w:rPr>
          <w:rFonts w:cstheme="minorHAnsi"/>
          <w:i/>
          <w:iCs/>
        </w:rPr>
        <w:t>E</w:t>
      </w:r>
      <w:r w:rsidRPr="009F378C">
        <w:rPr>
          <w:rFonts w:cstheme="minorHAnsi"/>
          <w:i/>
          <w:iCs/>
        </w:rPr>
        <w:t>conomics</w:t>
      </w:r>
      <w:r w:rsidRPr="00B96F0F">
        <w:rPr>
          <w:rFonts w:cstheme="minorHAnsi"/>
        </w:rPr>
        <w:t>, 33, 1-27.</w:t>
      </w:r>
    </w:p>
    <w:p w14:paraId="75A2A77F" w14:textId="7EF65D57" w:rsidR="00654F7C" w:rsidRDefault="00654F7C" w:rsidP="00B01A63">
      <w:r>
        <w:t xml:space="preserve">Timmons, E. J. (2017). The effects of expanded nurse practitioner and physician assistant scope of practice on the cost of Medicaid patient care. </w:t>
      </w:r>
      <w:hyperlink r:id="rId37" w:history="1">
        <w:r w:rsidRPr="00295F25">
          <w:rPr>
            <w:rStyle w:val="Hyperlink"/>
            <w:i/>
            <w:iCs/>
          </w:rPr>
          <w:t xml:space="preserve">Health </w:t>
        </w:r>
        <w:r w:rsidR="009F764D" w:rsidRPr="00295F25">
          <w:rPr>
            <w:rStyle w:val="Hyperlink"/>
            <w:i/>
            <w:iCs/>
          </w:rPr>
          <w:t>P</w:t>
        </w:r>
        <w:r w:rsidRPr="00295F25">
          <w:rPr>
            <w:rStyle w:val="Hyperlink"/>
            <w:i/>
            <w:iCs/>
          </w:rPr>
          <w:t>olicy</w:t>
        </w:r>
      </w:hyperlink>
      <w:r>
        <w:t xml:space="preserve">, </w:t>
      </w:r>
      <w:r>
        <w:rPr>
          <w:i/>
          <w:iCs/>
        </w:rPr>
        <w:t>121</w:t>
      </w:r>
      <w:r>
        <w:t>(2), 189-196.</w:t>
      </w:r>
      <w:r w:rsidR="00295F25">
        <w:t xml:space="preserve"> </w:t>
      </w:r>
    </w:p>
    <w:p w14:paraId="4C67D4D5" w14:textId="0A7438D9" w:rsidR="00BE5DBA" w:rsidRDefault="00BE5DBA" w:rsidP="00B01A63">
      <w:pPr>
        <w:rPr>
          <w:rFonts w:cstheme="minorHAnsi"/>
        </w:rPr>
      </w:pPr>
      <w:r w:rsidRPr="00BE5DBA">
        <w:rPr>
          <w:rFonts w:cstheme="minorHAnsi"/>
        </w:rPr>
        <w:t xml:space="preserve">Vaughn, B. T., </w:t>
      </w:r>
      <w:proofErr w:type="spellStart"/>
      <w:r w:rsidRPr="00BE5DBA">
        <w:rPr>
          <w:rFonts w:cstheme="minorHAnsi"/>
        </w:rPr>
        <w:t>DeVrieze</w:t>
      </w:r>
      <w:proofErr w:type="spellEnd"/>
      <w:r w:rsidRPr="00BE5DBA">
        <w:rPr>
          <w:rFonts w:cstheme="minorHAnsi"/>
        </w:rPr>
        <w:t xml:space="preserve">, S. R., Reed, S. D., &amp; Schulman, K. A. (2010). Can we close the income and wealth gap between specialists and primary care physicians? Health Affairs, 29(5), 933-40. Retrieved from </w:t>
      </w:r>
      <w:hyperlink r:id="rId38" w:history="1">
        <w:r w:rsidRPr="00FA5CC7">
          <w:rPr>
            <w:rStyle w:val="Hyperlink"/>
            <w:rFonts w:cstheme="minorHAnsi"/>
          </w:rPr>
          <w:t>http://libproxy.lib.unc.edu/login?url=https://www-proquest-com.libproxy.lib.unc.edu/scholarly-journals/can-we-close-income-wealth-gap-between/docview/304560686/se-2?accountid=14244</w:t>
        </w:r>
      </w:hyperlink>
      <w:r>
        <w:rPr>
          <w:rFonts w:cstheme="minorHAnsi"/>
        </w:rPr>
        <w:t xml:space="preserve"> </w:t>
      </w:r>
    </w:p>
    <w:p w14:paraId="3DB48870" w14:textId="0D860278" w:rsidR="00526595" w:rsidRDefault="00526595" w:rsidP="00526595">
      <w:pPr>
        <w:rPr>
          <w:rStyle w:val="Hyperlink"/>
        </w:rPr>
      </w:pPr>
      <w:r>
        <w:t xml:space="preserve">Weinberger, E. (2014) The governor is very interested. A teaching case from the strategic training initiative for the prevention of eating disorders. </w:t>
      </w:r>
      <w:hyperlink r:id="rId39" w:history="1">
        <w:r w:rsidRPr="008638BA">
          <w:rPr>
            <w:rStyle w:val="Hyperlink"/>
          </w:rPr>
          <w:t>https://cdn1.sph.harvard.edu/wp-content/uploads/sites/1267/2014/10/Revised-Narrative-CEA-Case-Oct-3-14.pdf</w:t>
        </w:r>
      </w:hyperlink>
    </w:p>
    <w:p w14:paraId="691977E7" w14:textId="6685AF94" w:rsidR="00825EE3" w:rsidRDefault="001E58AA" w:rsidP="00526595">
      <w:r w:rsidRPr="001E58AA">
        <w:t xml:space="preserve">Weeks, W. B., &amp; Wallace, A. E. (2002). The more things </w:t>
      </w:r>
      <w:proofErr w:type="gramStart"/>
      <w:r w:rsidRPr="001E58AA">
        <w:t>change:</w:t>
      </w:r>
      <w:proofErr w:type="gramEnd"/>
      <w:r w:rsidRPr="001E58AA">
        <w:t xml:space="preserve"> revisiting a comparison of educational costs and incomes of physicians and other professionals. </w:t>
      </w:r>
      <w:r w:rsidRPr="00696661">
        <w:rPr>
          <w:i/>
          <w:iCs/>
        </w:rPr>
        <w:t>Academic Medicine</w:t>
      </w:r>
      <w:r w:rsidRPr="001E58AA">
        <w:t>, 77(4), 312-319.</w:t>
      </w:r>
    </w:p>
    <w:p w14:paraId="77AEEED7" w14:textId="53B0A27D" w:rsidR="000C05B6" w:rsidRDefault="000C05B6">
      <w:pPr>
        <w:rPr>
          <w:rFonts w:cstheme="minorHAnsi"/>
        </w:rPr>
      </w:pPr>
    </w:p>
    <w:p w14:paraId="7ADF952D" w14:textId="77777777" w:rsidR="00E5611E" w:rsidRPr="00B71C89" w:rsidRDefault="00E5611E" w:rsidP="00E5611E">
      <w:r>
        <w:t>TTA! – Technical terminology alert! The math or language may be challenging. See how far you can get with that, but don’t get bogged down.</w:t>
      </w:r>
    </w:p>
    <w:p w14:paraId="69775D99" w14:textId="77777777" w:rsidR="00D37D5A" w:rsidRPr="00DE5D69" w:rsidRDefault="00D37D5A">
      <w:pPr>
        <w:rPr>
          <w:rFonts w:cstheme="minorHAnsi"/>
        </w:rPr>
      </w:pPr>
    </w:p>
    <w:p w14:paraId="7D43D103" w14:textId="2DB656A1" w:rsidR="00E27501" w:rsidRPr="00DE5D69" w:rsidRDefault="00E27501">
      <w:pPr>
        <w:rPr>
          <w:rFonts w:cstheme="minorHAnsi"/>
        </w:rPr>
      </w:pPr>
    </w:p>
    <w:p w14:paraId="47261FC0" w14:textId="16E0F739" w:rsidR="00E27501" w:rsidRDefault="00E27501">
      <w:r w:rsidRPr="00E27501">
        <w:rPr>
          <w:noProof/>
        </w:rPr>
        <w:drawing>
          <wp:inline distT="0" distB="0" distL="0" distR="0" wp14:anchorId="2D9E263F" wp14:editId="64495695">
            <wp:extent cx="5943600" cy="2700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2700655"/>
                    </a:xfrm>
                    <a:prstGeom prst="rect">
                      <a:avLst/>
                    </a:prstGeom>
                    <a:noFill/>
                    <a:ln>
                      <a:noFill/>
                    </a:ln>
                  </pic:spPr>
                </pic:pic>
              </a:graphicData>
            </a:graphic>
          </wp:inline>
        </w:drawing>
      </w:r>
    </w:p>
    <w:sectPr w:rsidR="00E27501">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A4E4" w14:textId="77777777" w:rsidR="00B8276C" w:rsidRDefault="00B8276C" w:rsidP="003016E1">
      <w:pPr>
        <w:spacing w:after="0" w:line="240" w:lineRule="auto"/>
      </w:pPr>
      <w:r>
        <w:separator/>
      </w:r>
    </w:p>
  </w:endnote>
  <w:endnote w:type="continuationSeparator" w:id="0">
    <w:p w14:paraId="5AD86345" w14:textId="77777777" w:rsidR="00B8276C" w:rsidRDefault="00B8276C" w:rsidP="0030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263763"/>
      <w:docPartObj>
        <w:docPartGallery w:val="Page Numbers (Bottom of Page)"/>
        <w:docPartUnique/>
      </w:docPartObj>
    </w:sdtPr>
    <w:sdtEndPr>
      <w:rPr>
        <w:noProof/>
      </w:rPr>
    </w:sdtEndPr>
    <w:sdtContent>
      <w:p w14:paraId="0A9BC756" w14:textId="111448F2" w:rsidR="003016E1" w:rsidRDefault="003016E1">
        <w:pPr>
          <w:pStyle w:val="Footer"/>
        </w:pPr>
        <w:r>
          <w:fldChar w:fldCharType="begin"/>
        </w:r>
        <w:r>
          <w:instrText xml:space="preserve"> PAGE   \* MERGEFORMAT </w:instrText>
        </w:r>
        <w:r>
          <w:fldChar w:fldCharType="separate"/>
        </w:r>
        <w:r>
          <w:rPr>
            <w:noProof/>
          </w:rPr>
          <w:t>2</w:t>
        </w:r>
        <w:r>
          <w:rPr>
            <w:noProof/>
          </w:rPr>
          <w:fldChar w:fldCharType="end"/>
        </w:r>
      </w:p>
    </w:sdtContent>
  </w:sdt>
  <w:p w14:paraId="74C4E29A" w14:textId="77777777" w:rsidR="003016E1" w:rsidRDefault="00301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EC7A" w14:textId="77777777" w:rsidR="00B8276C" w:rsidRDefault="00B8276C" w:rsidP="003016E1">
      <w:pPr>
        <w:spacing w:after="0" w:line="240" w:lineRule="auto"/>
      </w:pPr>
      <w:r>
        <w:separator/>
      </w:r>
    </w:p>
  </w:footnote>
  <w:footnote w:type="continuationSeparator" w:id="0">
    <w:p w14:paraId="5904D47E" w14:textId="77777777" w:rsidR="00B8276C" w:rsidRDefault="00B8276C" w:rsidP="00301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B7A"/>
    <w:multiLevelType w:val="hybridMultilevel"/>
    <w:tmpl w:val="B55C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409BF"/>
    <w:multiLevelType w:val="hybridMultilevel"/>
    <w:tmpl w:val="0CD825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C0814"/>
    <w:multiLevelType w:val="hybridMultilevel"/>
    <w:tmpl w:val="44EED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72A46"/>
    <w:multiLevelType w:val="hybridMultilevel"/>
    <w:tmpl w:val="D23E3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D4943"/>
    <w:multiLevelType w:val="hybridMultilevel"/>
    <w:tmpl w:val="A776F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05389"/>
    <w:multiLevelType w:val="hybridMultilevel"/>
    <w:tmpl w:val="E604B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65EB4"/>
    <w:multiLevelType w:val="hybridMultilevel"/>
    <w:tmpl w:val="E612D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2FE7"/>
    <w:multiLevelType w:val="hybridMultilevel"/>
    <w:tmpl w:val="F854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B4776"/>
    <w:multiLevelType w:val="hybridMultilevel"/>
    <w:tmpl w:val="93687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8"/>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E5"/>
    <w:rsid w:val="000033B9"/>
    <w:rsid w:val="00003F13"/>
    <w:rsid w:val="000277D1"/>
    <w:rsid w:val="000310F9"/>
    <w:rsid w:val="000404B0"/>
    <w:rsid w:val="00045846"/>
    <w:rsid w:val="000477EA"/>
    <w:rsid w:val="0005282F"/>
    <w:rsid w:val="000531AA"/>
    <w:rsid w:val="00063D9A"/>
    <w:rsid w:val="00070A8B"/>
    <w:rsid w:val="00072A0C"/>
    <w:rsid w:val="00084B46"/>
    <w:rsid w:val="00086878"/>
    <w:rsid w:val="00086917"/>
    <w:rsid w:val="0009104C"/>
    <w:rsid w:val="00092150"/>
    <w:rsid w:val="00094896"/>
    <w:rsid w:val="000A7A50"/>
    <w:rsid w:val="000B2DBB"/>
    <w:rsid w:val="000B4B79"/>
    <w:rsid w:val="000C05B6"/>
    <w:rsid w:val="000C3420"/>
    <w:rsid w:val="000C43EF"/>
    <w:rsid w:val="000D0342"/>
    <w:rsid w:val="000D1306"/>
    <w:rsid w:val="000D369D"/>
    <w:rsid w:val="000E3857"/>
    <w:rsid w:val="000E66B7"/>
    <w:rsid w:val="000F52B4"/>
    <w:rsid w:val="000F5893"/>
    <w:rsid w:val="000F715D"/>
    <w:rsid w:val="00112A1B"/>
    <w:rsid w:val="00115816"/>
    <w:rsid w:val="00130CDA"/>
    <w:rsid w:val="00134B96"/>
    <w:rsid w:val="001357C3"/>
    <w:rsid w:val="00137BA4"/>
    <w:rsid w:val="00142EE5"/>
    <w:rsid w:val="00150303"/>
    <w:rsid w:val="00163F71"/>
    <w:rsid w:val="00165A22"/>
    <w:rsid w:val="0017125B"/>
    <w:rsid w:val="00171298"/>
    <w:rsid w:val="00173C84"/>
    <w:rsid w:val="00177A45"/>
    <w:rsid w:val="0018081F"/>
    <w:rsid w:val="00184E4B"/>
    <w:rsid w:val="00190C02"/>
    <w:rsid w:val="001A19F0"/>
    <w:rsid w:val="001B2843"/>
    <w:rsid w:val="001D10AD"/>
    <w:rsid w:val="001E58AA"/>
    <w:rsid w:val="001F5632"/>
    <w:rsid w:val="002321B5"/>
    <w:rsid w:val="0023259C"/>
    <w:rsid w:val="00250D08"/>
    <w:rsid w:val="002549B3"/>
    <w:rsid w:val="00256092"/>
    <w:rsid w:val="002613C4"/>
    <w:rsid w:val="0027014E"/>
    <w:rsid w:val="00274013"/>
    <w:rsid w:val="002866B7"/>
    <w:rsid w:val="00295F25"/>
    <w:rsid w:val="002A58AA"/>
    <w:rsid w:val="002A6468"/>
    <w:rsid w:val="002D3F50"/>
    <w:rsid w:val="002D6066"/>
    <w:rsid w:val="002E2826"/>
    <w:rsid w:val="002E7844"/>
    <w:rsid w:val="002F2F82"/>
    <w:rsid w:val="002F42EF"/>
    <w:rsid w:val="002F6ECC"/>
    <w:rsid w:val="002F7321"/>
    <w:rsid w:val="003016E1"/>
    <w:rsid w:val="00301905"/>
    <w:rsid w:val="0030673A"/>
    <w:rsid w:val="00323ADF"/>
    <w:rsid w:val="00327228"/>
    <w:rsid w:val="003279E9"/>
    <w:rsid w:val="00340075"/>
    <w:rsid w:val="003729CE"/>
    <w:rsid w:val="003776E2"/>
    <w:rsid w:val="003841A3"/>
    <w:rsid w:val="00387A1D"/>
    <w:rsid w:val="003930B2"/>
    <w:rsid w:val="0039664E"/>
    <w:rsid w:val="00397CBB"/>
    <w:rsid w:val="003A0764"/>
    <w:rsid w:val="003A5878"/>
    <w:rsid w:val="003B4722"/>
    <w:rsid w:val="003B5722"/>
    <w:rsid w:val="003C1A3C"/>
    <w:rsid w:val="003C4630"/>
    <w:rsid w:val="003C5956"/>
    <w:rsid w:val="003D4B0B"/>
    <w:rsid w:val="003E0B52"/>
    <w:rsid w:val="003E2D29"/>
    <w:rsid w:val="003E3C25"/>
    <w:rsid w:val="003F2ECD"/>
    <w:rsid w:val="00402D6E"/>
    <w:rsid w:val="00405802"/>
    <w:rsid w:val="004065F0"/>
    <w:rsid w:val="0041583B"/>
    <w:rsid w:val="00416F18"/>
    <w:rsid w:val="004250EE"/>
    <w:rsid w:val="00430A21"/>
    <w:rsid w:val="0043171B"/>
    <w:rsid w:val="0043595E"/>
    <w:rsid w:val="00453678"/>
    <w:rsid w:val="004636F7"/>
    <w:rsid w:val="0046409E"/>
    <w:rsid w:val="0047651E"/>
    <w:rsid w:val="004815FF"/>
    <w:rsid w:val="004819F2"/>
    <w:rsid w:val="00483D12"/>
    <w:rsid w:val="0048697C"/>
    <w:rsid w:val="00492994"/>
    <w:rsid w:val="0049643C"/>
    <w:rsid w:val="004A21EE"/>
    <w:rsid w:val="004A7595"/>
    <w:rsid w:val="004B638E"/>
    <w:rsid w:val="004D263E"/>
    <w:rsid w:val="004D49CA"/>
    <w:rsid w:val="004D7192"/>
    <w:rsid w:val="004E644D"/>
    <w:rsid w:val="004E66FA"/>
    <w:rsid w:val="004F2603"/>
    <w:rsid w:val="004F682D"/>
    <w:rsid w:val="004F6B75"/>
    <w:rsid w:val="0050062E"/>
    <w:rsid w:val="00500D02"/>
    <w:rsid w:val="00506B9F"/>
    <w:rsid w:val="00506D88"/>
    <w:rsid w:val="005103B6"/>
    <w:rsid w:val="005111FD"/>
    <w:rsid w:val="00526595"/>
    <w:rsid w:val="00526817"/>
    <w:rsid w:val="00531505"/>
    <w:rsid w:val="00532BD6"/>
    <w:rsid w:val="00535FCA"/>
    <w:rsid w:val="00542BA2"/>
    <w:rsid w:val="00551095"/>
    <w:rsid w:val="00562DFA"/>
    <w:rsid w:val="00565683"/>
    <w:rsid w:val="00565B87"/>
    <w:rsid w:val="005806D8"/>
    <w:rsid w:val="00596527"/>
    <w:rsid w:val="005972CA"/>
    <w:rsid w:val="005A3B6A"/>
    <w:rsid w:val="005A6D61"/>
    <w:rsid w:val="005B004C"/>
    <w:rsid w:val="005C47CE"/>
    <w:rsid w:val="005C5707"/>
    <w:rsid w:val="005D778B"/>
    <w:rsid w:val="005E1B78"/>
    <w:rsid w:val="005E1C9F"/>
    <w:rsid w:val="005E2255"/>
    <w:rsid w:val="005E3BA3"/>
    <w:rsid w:val="005F0567"/>
    <w:rsid w:val="00605589"/>
    <w:rsid w:val="00605FD5"/>
    <w:rsid w:val="00610AFE"/>
    <w:rsid w:val="00611122"/>
    <w:rsid w:val="0061191E"/>
    <w:rsid w:val="00613CFB"/>
    <w:rsid w:val="00626C2D"/>
    <w:rsid w:val="0062738D"/>
    <w:rsid w:val="00631C95"/>
    <w:rsid w:val="00645973"/>
    <w:rsid w:val="00650C3F"/>
    <w:rsid w:val="00654F7C"/>
    <w:rsid w:val="00663BEB"/>
    <w:rsid w:val="00666CE6"/>
    <w:rsid w:val="006701E1"/>
    <w:rsid w:val="00674F31"/>
    <w:rsid w:val="00675C31"/>
    <w:rsid w:val="00680863"/>
    <w:rsid w:val="0068325B"/>
    <w:rsid w:val="006833CF"/>
    <w:rsid w:val="00696661"/>
    <w:rsid w:val="006A0611"/>
    <w:rsid w:val="006A4341"/>
    <w:rsid w:val="006A60E0"/>
    <w:rsid w:val="006B3477"/>
    <w:rsid w:val="006B3E0C"/>
    <w:rsid w:val="006C4FF2"/>
    <w:rsid w:val="006C764B"/>
    <w:rsid w:val="006D2706"/>
    <w:rsid w:val="006E0A74"/>
    <w:rsid w:val="00701002"/>
    <w:rsid w:val="00706634"/>
    <w:rsid w:val="007105A4"/>
    <w:rsid w:val="007133F6"/>
    <w:rsid w:val="00716548"/>
    <w:rsid w:val="0071665F"/>
    <w:rsid w:val="00716AF4"/>
    <w:rsid w:val="00721BD0"/>
    <w:rsid w:val="00733BA3"/>
    <w:rsid w:val="00733E05"/>
    <w:rsid w:val="007365C3"/>
    <w:rsid w:val="00750D8D"/>
    <w:rsid w:val="00757DD8"/>
    <w:rsid w:val="007669F8"/>
    <w:rsid w:val="00772104"/>
    <w:rsid w:val="00775A10"/>
    <w:rsid w:val="00785D10"/>
    <w:rsid w:val="0078740F"/>
    <w:rsid w:val="007A0DBF"/>
    <w:rsid w:val="007B3954"/>
    <w:rsid w:val="007B4AED"/>
    <w:rsid w:val="007B642C"/>
    <w:rsid w:val="007C4222"/>
    <w:rsid w:val="007C6500"/>
    <w:rsid w:val="007D746D"/>
    <w:rsid w:val="007E5C37"/>
    <w:rsid w:val="007F2C82"/>
    <w:rsid w:val="007F30B6"/>
    <w:rsid w:val="008178E4"/>
    <w:rsid w:val="00821A4D"/>
    <w:rsid w:val="00822E0D"/>
    <w:rsid w:val="00824F50"/>
    <w:rsid w:val="00825EE3"/>
    <w:rsid w:val="00826185"/>
    <w:rsid w:val="008266A6"/>
    <w:rsid w:val="00830465"/>
    <w:rsid w:val="00832358"/>
    <w:rsid w:val="0084101F"/>
    <w:rsid w:val="00850F22"/>
    <w:rsid w:val="00864DA1"/>
    <w:rsid w:val="00866A49"/>
    <w:rsid w:val="00877E61"/>
    <w:rsid w:val="00880885"/>
    <w:rsid w:val="00881ECA"/>
    <w:rsid w:val="008831CB"/>
    <w:rsid w:val="00886E56"/>
    <w:rsid w:val="00894C44"/>
    <w:rsid w:val="00896C3D"/>
    <w:rsid w:val="008978B1"/>
    <w:rsid w:val="008B6C61"/>
    <w:rsid w:val="008C29C5"/>
    <w:rsid w:val="008F5ABF"/>
    <w:rsid w:val="008F67A2"/>
    <w:rsid w:val="008F7C5B"/>
    <w:rsid w:val="009139C1"/>
    <w:rsid w:val="00917248"/>
    <w:rsid w:val="00926832"/>
    <w:rsid w:val="00937FCA"/>
    <w:rsid w:val="00947778"/>
    <w:rsid w:val="0095280B"/>
    <w:rsid w:val="00963AB7"/>
    <w:rsid w:val="009754A3"/>
    <w:rsid w:val="00975CF0"/>
    <w:rsid w:val="009762F9"/>
    <w:rsid w:val="00977592"/>
    <w:rsid w:val="009828C0"/>
    <w:rsid w:val="00986679"/>
    <w:rsid w:val="0098764F"/>
    <w:rsid w:val="0098771F"/>
    <w:rsid w:val="00994DA5"/>
    <w:rsid w:val="009A00CF"/>
    <w:rsid w:val="009A034C"/>
    <w:rsid w:val="009A0897"/>
    <w:rsid w:val="009B0A7A"/>
    <w:rsid w:val="009C041B"/>
    <w:rsid w:val="009C3350"/>
    <w:rsid w:val="009C686E"/>
    <w:rsid w:val="009E259E"/>
    <w:rsid w:val="009F169E"/>
    <w:rsid w:val="009F1DBC"/>
    <w:rsid w:val="009F378C"/>
    <w:rsid w:val="009F3BBB"/>
    <w:rsid w:val="009F4F50"/>
    <w:rsid w:val="009F764D"/>
    <w:rsid w:val="00A1151D"/>
    <w:rsid w:val="00A12808"/>
    <w:rsid w:val="00A16B9C"/>
    <w:rsid w:val="00A32500"/>
    <w:rsid w:val="00A3437F"/>
    <w:rsid w:val="00A3622B"/>
    <w:rsid w:val="00A37BE5"/>
    <w:rsid w:val="00A37D88"/>
    <w:rsid w:val="00A44D9B"/>
    <w:rsid w:val="00A46EEA"/>
    <w:rsid w:val="00A53394"/>
    <w:rsid w:val="00A66B11"/>
    <w:rsid w:val="00A849CD"/>
    <w:rsid w:val="00A8730F"/>
    <w:rsid w:val="00A90830"/>
    <w:rsid w:val="00A91982"/>
    <w:rsid w:val="00AA5075"/>
    <w:rsid w:val="00AB2E0F"/>
    <w:rsid w:val="00AB3AC0"/>
    <w:rsid w:val="00AC2566"/>
    <w:rsid w:val="00AE2FD0"/>
    <w:rsid w:val="00AE5448"/>
    <w:rsid w:val="00AE5D3E"/>
    <w:rsid w:val="00AE64A9"/>
    <w:rsid w:val="00AF05C4"/>
    <w:rsid w:val="00B01A63"/>
    <w:rsid w:val="00B0246D"/>
    <w:rsid w:val="00B03AB6"/>
    <w:rsid w:val="00B0693C"/>
    <w:rsid w:val="00B26E1E"/>
    <w:rsid w:val="00B44195"/>
    <w:rsid w:val="00B463C0"/>
    <w:rsid w:val="00B47706"/>
    <w:rsid w:val="00B51BF9"/>
    <w:rsid w:val="00B529A7"/>
    <w:rsid w:val="00B55331"/>
    <w:rsid w:val="00B5796C"/>
    <w:rsid w:val="00B62B39"/>
    <w:rsid w:val="00B6459B"/>
    <w:rsid w:val="00B7083E"/>
    <w:rsid w:val="00B775B5"/>
    <w:rsid w:val="00B8276C"/>
    <w:rsid w:val="00B85E5A"/>
    <w:rsid w:val="00B901B1"/>
    <w:rsid w:val="00B917D2"/>
    <w:rsid w:val="00B95A62"/>
    <w:rsid w:val="00B96F0F"/>
    <w:rsid w:val="00BA348B"/>
    <w:rsid w:val="00BB06E1"/>
    <w:rsid w:val="00BC47B7"/>
    <w:rsid w:val="00BC650F"/>
    <w:rsid w:val="00BC789B"/>
    <w:rsid w:val="00BD24D1"/>
    <w:rsid w:val="00BE0FE2"/>
    <w:rsid w:val="00BE2029"/>
    <w:rsid w:val="00BE5DBA"/>
    <w:rsid w:val="00BF2EBB"/>
    <w:rsid w:val="00BF34FF"/>
    <w:rsid w:val="00BF3919"/>
    <w:rsid w:val="00C00741"/>
    <w:rsid w:val="00C042A1"/>
    <w:rsid w:val="00C0502D"/>
    <w:rsid w:val="00C05908"/>
    <w:rsid w:val="00C11E81"/>
    <w:rsid w:val="00C231D6"/>
    <w:rsid w:val="00C23DFF"/>
    <w:rsid w:val="00C24BB0"/>
    <w:rsid w:val="00C43958"/>
    <w:rsid w:val="00C738A9"/>
    <w:rsid w:val="00C7435D"/>
    <w:rsid w:val="00C75F44"/>
    <w:rsid w:val="00C76FDC"/>
    <w:rsid w:val="00C775D3"/>
    <w:rsid w:val="00C80DB1"/>
    <w:rsid w:val="00C83C73"/>
    <w:rsid w:val="00C85266"/>
    <w:rsid w:val="00C903AC"/>
    <w:rsid w:val="00C95657"/>
    <w:rsid w:val="00CA1BE3"/>
    <w:rsid w:val="00CA336E"/>
    <w:rsid w:val="00CA3AE8"/>
    <w:rsid w:val="00CA424B"/>
    <w:rsid w:val="00CB1CCF"/>
    <w:rsid w:val="00CB594E"/>
    <w:rsid w:val="00CC0A06"/>
    <w:rsid w:val="00CC15C3"/>
    <w:rsid w:val="00CC189A"/>
    <w:rsid w:val="00CC2D14"/>
    <w:rsid w:val="00CD32F9"/>
    <w:rsid w:val="00CE03F6"/>
    <w:rsid w:val="00CE1CAC"/>
    <w:rsid w:val="00CE1F7B"/>
    <w:rsid w:val="00CE4665"/>
    <w:rsid w:val="00CF6E08"/>
    <w:rsid w:val="00CF7949"/>
    <w:rsid w:val="00D0696D"/>
    <w:rsid w:val="00D22484"/>
    <w:rsid w:val="00D26C84"/>
    <w:rsid w:val="00D2769D"/>
    <w:rsid w:val="00D31CC9"/>
    <w:rsid w:val="00D32C54"/>
    <w:rsid w:val="00D363C9"/>
    <w:rsid w:val="00D37653"/>
    <w:rsid w:val="00D37D5A"/>
    <w:rsid w:val="00D40E62"/>
    <w:rsid w:val="00D41D90"/>
    <w:rsid w:val="00D41F2C"/>
    <w:rsid w:val="00D44A0E"/>
    <w:rsid w:val="00D527C9"/>
    <w:rsid w:val="00D5460B"/>
    <w:rsid w:val="00D7271A"/>
    <w:rsid w:val="00D73D26"/>
    <w:rsid w:val="00D777A5"/>
    <w:rsid w:val="00D854FB"/>
    <w:rsid w:val="00D87862"/>
    <w:rsid w:val="00D97859"/>
    <w:rsid w:val="00DA3482"/>
    <w:rsid w:val="00DD106A"/>
    <w:rsid w:val="00DE3761"/>
    <w:rsid w:val="00DE3825"/>
    <w:rsid w:val="00DE5D69"/>
    <w:rsid w:val="00DF31CD"/>
    <w:rsid w:val="00DF3A21"/>
    <w:rsid w:val="00DF539B"/>
    <w:rsid w:val="00E019DC"/>
    <w:rsid w:val="00E07A5F"/>
    <w:rsid w:val="00E103B6"/>
    <w:rsid w:val="00E10839"/>
    <w:rsid w:val="00E10954"/>
    <w:rsid w:val="00E114BD"/>
    <w:rsid w:val="00E16335"/>
    <w:rsid w:val="00E22FDB"/>
    <w:rsid w:val="00E27501"/>
    <w:rsid w:val="00E31EF0"/>
    <w:rsid w:val="00E37C0B"/>
    <w:rsid w:val="00E41AA0"/>
    <w:rsid w:val="00E45D69"/>
    <w:rsid w:val="00E50651"/>
    <w:rsid w:val="00E5282A"/>
    <w:rsid w:val="00E5611E"/>
    <w:rsid w:val="00E56799"/>
    <w:rsid w:val="00E60852"/>
    <w:rsid w:val="00E71307"/>
    <w:rsid w:val="00E72135"/>
    <w:rsid w:val="00E75ADD"/>
    <w:rsid w:val="00E77579"/>
    <w:rsid w:val="00E902EB"/>
    <w:rsid w:val="00E97EBB"/>
    <w:rsid w:val="00EA11A1"/>
    <w:rsid w:val="00EB3478"/>
    <w:rsid w:val="00EB5F44"/>
    <w:rsid w:val="00ED02C6"/>
    <w:rsid w:val="00ED11CF"/>
    <w:rsid w:val="00ED5BCA"/>
    <w:rsid w:val="00ED66E9"/>
    <w:rsid w:val="00EE0CB5"/>
    <w:rsid w:val="00EE65F7"/>
    <w:rsid w:val="00EF5906"/>
    <w:rsid w:val="00F054AE"/>
    <w:rsid w:val="00F205EC"/>
    <w:rsid w:val="00F21F84"/>
    <w:rsid w:val="00F45582"/>
    <w:rsid w:val="00F50EE9"/>
    <w:rsid w:val="00F530F0"/>
    <w:rsid w:val="00F54EF5"/>
    <w:rsid w:val="00F56269"/>
    <w:rsid w:val="00F70D2A"/>
    <w:rsid w:val="00F85446"/>
    <w:rsid w:val="00F94EB3"/>
    <w:rsid w:val="00FB5AF2"/>
    <w:rsid w:val="00FD00DD"/>
    <w:rsid w:val="00FF41F0"/>
    <w:rsid w:val="00FF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DDB7"/>
  <w15:chartTrackingRefBased/>
  <w15:docId w15:val="{9D4FA6EE-13D2-4FCC-8FF8-9881A49D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B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2F7321"/>
    <w:pPr>
      <w:keepNext/>
      <w:keepLines/>
      <w:spacing w:before="200" w:after="80" w:line="240" w:lineRule="auto"/>
      <w:outlineLvl w:val="1"/>
    </w:pPr>
    <w:rPr>
      <w:rFonts w:asciiTheme="majorHAnsi" w:eastAsiaTheme="majorEastAsia" w:hAnsiTheme="majorHAnsi" w:cstheme="majorBidi"/>
      <w:b/>
      <w:bCs/>
      <w:color w:val="2F5496" w:themeColor="accent1" w:themeShade="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CD"/>
    <w:pPr>
      <w:ind w:left="720"/>
      <w:contextualSpacing/>
    </w:pPr>
  </w:style>
  <w:style w:type="table" w:styleId="TableGrid">
    <w:name w:val="Table Grid"/>
    <w:basedOn w:val="TableNormal"/>
    <w:uiPriority w:val="39"/>
    <w:rsid w:val="00AF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2F7321"/>
    <w:rPr>
      <w:rFonts w:asciiTheme="majorHAnsi" w:eastAsiaTheme="majorEastAsia" w:hAnsiTheme="majorHAnsi" w:cstheme="majorBidi"/>
      <w:b/>
      <w:bCs/>
      <w:color w:val="2F5496" w:themeColor="accent1" w:themeShade="BF"/>
      <w:lang w:eastAsia="ja-JP"/>
    </w:rPr>
  </w:style>
  <w:style w:type="character" w:styleId="Hyperlink">
    <w:name w:val="Hyperlink"/>
    <w:basedOn w:val="DefaultParagraphFont"/>
    <w:uiPriority w:val="99"/>
    <w:unhideWhenUsed/>
    <w:rsid w:val="00EA11A1"/>
    <w:rPr>
      <w:color w:val="C45911" w:themeColor="accent2" w:themeShade="BF"/>
      <w:u w:val="single"/>
    </w:rPr>
  </w:style>
  <w:style w:type="character" w:customStyle="1" w:styleId="markedcontent">
    <w:name w:val="markedcontent"/>
    <w:basedOn w:val="DefaultParagraphFont"/>
    <w:rsid w:val="00EE65F7"/>
  </w:style>
  <w:style w:type="character" w:styleId="UnresolvedMention">
    <w:name w:val="Unresolved Mention"/>
    <w:basedOn w:val="DefaultParagraphFont"/>
    <w:uiPriority w:val="99"/>
    <w:semiHidden/>
    <w:unhideWhenUsed/>
    <w:rsid w:val="00AC2566"/>
    <w:rPr>
      <w:color w:val="605E5C"/>
      <w:shd w:val="clear" w:color="auto" w:fill="E1DFDD"/>
    </w:rPr>
  </w:style>
  <w:style w:type="paragraph" w:styleId="Header">
    <w:name w:val="header"/>
    <w:basedOn w:val="Normal"/>
    <w:link w:val="HeaderChar"/>
    <w:uiPriority w:val="99"/>
    <w:unhideWhenUsed/>
    <w:rsid w:val="00301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6E1"/>
  </w:style>
  <w:style w:type="paragraph" w:styleId="Footer">
    <w:name w:val="footer"/>
    <w:basedOn w:val="Normal"/>
    <w:link w:val="FooterChar"/>
    <w:uiPriority w:val="99"/>
    <w:unhideWhenUsed/>
    <w:rsid w:val="00301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6E1"/>
  </w:style>
  <w:style w:type="paragraph" w:styleId="NoSpacing">
    <w:name w:val="No Spacing"/>
    <w:uiPriority w:val="1"/>
    <w:qFormat/>
    <w:rsid w:val="00F94EB3"/>
    <w:pPr>
      <w:spacing w:after="0" w:line="240" w:lineRule="auto"/>
    </w:pPr>
    <w:rPr>
      <w:rFonts w:ascii="Calibri" w:eastAsia="Times New Roman" w:hAnsi="Calibri" w:cs="Times New Roman"/>
    </w:rPr>
  </w:style>
  <w:style w:type="paragraph" w:styleId="BodyText">
    <w:name w:val="Body Text"/>
    <w:basedOn w:val="Normal"/>
    <w:link w:val="BodyTextChar"/>
    <w:uiPriority w:val="1"/>
    <w:qFormat/>
    <w:rsid w:val="00E103B6"/>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E103B6"/>
    <w:rPr>
      <w:rFonts w:ascii="Arial" w:eastAsia="Arial" w:hAnsi="Arial" w:cs="Arial"/>
      <w:sz w:val="19"/>
      <w:szCs w:val="19"/>
    </w:rPr>
  </w:style>
  <w:style w:type="table" w:styleId="GridTable5Dark-Accent1">
    <w:name w:val="Grid Table 5 Dark Accent 1"/>
    <w:basedOn w:val="TableNormal"/>
    <w:uiPriority w:val="50"/>
    <w:rsid w:val="003E3C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3E3C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674F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ED5BC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53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5954">
      <w:bodyDiv w:val="1"/>
      <w:marLeft w:val="0"/>
      <w:marRight w:val="0"/>
      <w:marTop w:val="0"/>
      <w:marBottom w:val="0"/>
      <w:divBdr>
        <w:top w:val="none" w:sz="0" w:space="0" w:color="auto"/>
        <w:left w:val="none" w:sz="0" w:space="0" w:color="auto"/>
        <w:bottom w:val="none" w:sz="0" w:space="0" w:color="auto"/>
        <w:right w:val="none" w:sz="0" w:space="0" w:color="auto"/>
      </w:divBdr>
      <w:divsChild>
        <w:div w:id="2926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507664">
              <w:marLeft w:val="0"/>
              <w:marRight w:val="0"/>
              <w:marTop w:val="0"/>
              <w:marBottom w:val="0"/>
              <w:divBdr>
                <w:top w:val="none" w:sz="0" w:space="0" w:color="auto"/>
                <w:left w:val="none" w:sz="0" w:space="0" w:color="auto"/>
                <w:bottom w:val="none" w:sz="0" w:space="0" w:color="auto"/>
                <w:right w:val="none" w:sz="0" w:space="0" w:color="auto"/>
              </w:divBdr>
              <w:divsChild>
                <w:div w:id="1278561060">
                  <w:marLeft w:val="0"/>
                  <w:marRight w:val="0"/>
                  <w:marTop w:val="0"/>
                  <w:marBottom w:val="0"/>
                  <w:divBdr>
                    <w:top w:val="none" w:sz="0" w:space="0" w:color="auto"/>
                    <w:left w:val="none" w:sz="0" w:space="0" w:color="auto"/>
                    <w:bottom w:val="none" w:sz="0" w:space="0" w:color="auto"/>
                    <w:right w:val="none" w:sz="0" w:space="0" w:color="auto"/>
                  </w:divBdr>
                  <w:divsChild>
                    <w:div w:id="1115759607">
                      <w:marLeft w:val="0"/>
                      <w:marRight w:val="0"/>
                      <w:marTop w:val="0"/>
                      <w:marBottom w:val="0"/>
                      <w:divBdr>
                        <w:top w:val="none" w:sz="0" w:space="0" w:color="auto"/>
                        <w:left w:val="none" w:sz="0" w:space="0" w:color="auto"/>
                        <w:bottom w:val="none" w:sz="0" w:space="0" w:color="auto"/>
                        <w:right w:val="none" w:sz="0" w:space="0" w:color="auto"/>
                      </w:divBdr>
                    </w:div>
                    <w:div w:id="10623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3847">
      <w:bodyDiv w:val="1"/>
      <w:marLeft w:val="0"/>
      <w:marRight w:val="0"/>
      <w:marTop w:val="0"/>
      <w:marBottom w:val="0"/>
      <w:divBdr>
        <w:top w:val="none" w:sz="0" w:space="0" w:color="auto"/>
        <w:left w:val="none" w:sz="0" w:space="0" w:color="auto"/>
        <w:bottom w:val="none" w:sz="0" w:space="0" w:color="auto"/>
        <w:right w:val="none" w:sz="0" w:space="0" w:color="auto"/>
      </w:divBdr>
      <w:divsChild>
        <w:div w:id="1170370351">
          <w:marLeft w:val="0"/>
          <w:marRight w:val="0"/>
          <w:marTop w:val="0"/>
          <w:marBottom w:val="0"/>
          <w:divBdr>
            <w:top w:val="none" w:sz="0" w:space="0" w:color="auto"/>
            <w:left w:val="none" w:sz="0" w:space="0" w:color="auto"/>
            <w:bottom w:val="none" w:sz="0" w:space="0" w:color="auto"/>
            <w:right w:val="none" w:sz="0" w:space="0" w:color="auto"/>
          </w:divBdr>
        </w:div>
      </w:divsChild>
    </w:div>
    <w:div w:id="345328351">
      <w:bodyDiv w:val="1"/>
      <w:marLeft w:val="0"/>
      <w:marRight w:val="0"/>
      <w:marTop w:val="0"/>
      <w:marBottom w:val="0"/>
      <w:divBdr>
        <w:top w:val="none" w:sz="0" w:space="0" w:color="auto"/>
        <w:left w:val="none" w:sz="0" w:space="0" w:color="auto"/>
        <w:bottom w:val="none" w:sz="0" w:space="0" w:color="auto"/>
        <w:right w:val="none" w:sz="0" w:space="0" w:color="auto"/>
      </w:divBdr>
    </w:div>
    <w:div w:id="454830552">
      <w:bodyDiv w:val="1"/>
      <w:marLeft w:val="0"/>
      <w:marRight w:val="0"/>
      <w:marTop w:val="0"/>
      <w:marBottom w:val="0"/>
      <w:divBdr>
        <w:top w:val="none" w:sz="0" w:space="0" w:color="auto"/>
        <w:left w:val="none" w:sz="0" w:space="0" w:color="auto"/>
        <w:bottom w:val="none" w:sz="0" w:space="0" w:color="auto"/>
        <w:right w:val="none" w:sz="0" w:space="0" w:color="auto"/>
      </w:divBdr>
    </w:div>
    <w:div w:id="557596544">
      <w:bodyDiv w:val="1"/>
      <w:marLeft w:val="0"/>
      <w:marRight w:val="0"/>
      <w:marTop w:val="0"/>
      <w:marBottom w:val="0"/>
      <w:divBdr>
        <w:top w:val="none" w:sz="0" w:space="0" w:color="auto"/>
        <w:left w:val="none" w:sz="0" w:space="0" w:color="auto"/>
        <w:bottom w:val="none" w:sz="0" w:space="0" w:color="auto"/>
        <w:right w:val="none" w:sz="0" w:space="0" w:color="auto"/>
      </w:divBdr>
      <w:divsChild>
        <w:div w:id="1051072104">
          <w:marLeft w:val="0"/>
          <w:marRight w:val="0"/>
          <w:marTop w:val="0"/>
          <w:marBottom w:val="0"/>
          <w:divBdr>
            <w:top w:val="none" w:sz="0" w:space="0" w:color="auto"/>
            <w:left w:val="none" w:sz="0" w:space="0" w:color="auto"/>
            <w:bottom w:val="none" w:sz="0" w:space="0" w:color="auto"/>
            <w:right w:val="none" w:sz="0" w:space="0" w:color="auto"/>
          </w:divBdr>
        </w:div>
      </w:divsChild>
    </w:div>
    <w:div w:id="946351471">
      <w:bodyDiv w:val="1"/>
      <w:marLeft w:val="0"/>
      <w:marRight w:val="0"/>
      <w:marTop w:val="0"/>
      <w:marBottom w:val="0"/>
      <w:divBdr>
        <w:top w:val="none" w:sz="0" w:space="0" w:color="auto"/>
        <w:left w:val="none" w:sz="0" w:space="0" w:color="auto"/>
        <w:bottom w:val="none" w:sz="0" w:space="0" w:color="auto"/>
        <w:right w:val="none" w:sz="0" w:space="0" w:color="auto"/>
      </w:divBdr>
      <w:divsChild>
        <w:div w:id="1288464796">
          <w:marLeft w:val="0"/>
          <w:marRight w:val="0"/>
          <w:marTop w:val="0"/>
          <w:marBottom w:val="0"/>
          <w:divBdr>
            <w:top w:val="none" w:sz="0" w:space="0" w:color="auto"/>
            <w:left w:val="none" w:sz="0" w:space="0" w:color="auto"/>
            <w:bottom w:val="none" w:sz="0" w:space="0" w:color="auto"/>
            <w:right w:val="none" w:sz="0" w:space="0" w:color="auto"/>
          </w:divBdr>
        </w:div>
      </w:divsChild>
    </w:div>
    <w:div w:id="1323392735">
      <w:bodyDiv w:val="1"/>
      <w:marLeft w:val="0"/>
      <w:marRight w:val="0"/>
      <w:marTop w:val="0"/>
      <w:marBottom w:val="0"/>
      <w:divBdr>
        <w:top w:val="none" w:sz="0" w:space="0" w:color="auto"/>
        <w:left w:val="none" w:sz="0" w:space="0" w:color="auto"/>
        <w:bottom w:val="none" w:sz="0" w:space="0" w:color="auto"/>
        <w:right w:val="none" w:sz="0" w:space="0" w:color="auto"/>
      </w:divBdr>
      <w:divsChild>
        <w:div w:id="25509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ps.unc.edu/" TargetMode="External"/><Relationship Id="rId18" Type="http://schemas.openxmlformats.org/officeDocument/2006/relationships/hyperlink" Target="https://ars.unc.edu" TargetMode="External"/><Relationship Id="rId26" Type="http://schemas.openxmlformats.org/officeDocument/2006/relationships/hyperlink" Target="http://www.med.mcgill.ca/epidemiology/courses/EPIB654/Summer2010/EF/ef%20mgd%20care.pdf" TargetMode="External"/><Relationship Id="rId39" Type="http://schemas.openxmlformats.org/officeDocument/2006/relationships/hyperlink" Target="https://cdn1.sph.harvard.edu/wp-content/uploads/sites/1267/2014/10/Revised-Narrative-CEA-Case-Oct-3-14.pdf" TargetMode="External"/><Relationship Id="rId21" Type="http://schemas.openxmlformats.org/officeDocument/2006/relationships/image" Target="media/image2.svg"/><Relationship Id="rId34" Type="http://schemas.openxmlformats.org/officeDocument/2006/relationships/hyperlink" Target="https://www.rand.org/pubs/research_briefs/RB9145.html" TargetMode="External"/><Relationship Id="rId42" Type="http://schemas.openxmlformats.org/officeDocument/2006/relationships/fontTable" Target="fontTable.xml"/><Relationship Id="rId7" Type="http://schemas.openxmlformats.org/officeDocument/2006/relationships/hyperlink" Target="mailto:acowell@unc.edu" TargetMode="External"/><Relationship Id="rId2" Type="http://schemas.openxmlformats.org/officeDocument/2006/relationships/styles" Target="styles.xml"/><Relationship Id="rId16" Type="http://schemas.openxmlformats.org/officeDocument/2006/relationships/hyperlink" Target="mailto:reportandresponse@unc.edu" TargetMode="External"/><Relationship Id="rId20" Type="http://schemas.openxmlformats.org/officeDocument/2006/relationships/image" Target="media/image1.png"/><Relationship Id="rId29" Type="http://schemas.openxmlformats.org/officeDocument/2006/relationships/hyperlink" Target="https://www.healthaffairs.org/doi/full/10.1377/hlthaff.2017.1517"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maxient.com/reportingform.php?UNCChapelHill&amp;layout_id=23" TargetMode="External"/><Relationship Id="rId24" Type="http://schemas.openxmlformats.org/officeDocument/2006/relationships/image" Target="media/image5.png"/><Relationship Id="rId32" Type="http://schemas.openxmlformats.org/officeDocument/2006/relationships/hyperlink" Target="https://pubs.aeaweb.org/doi/pdfplus/10.1257/jep.25.1.115" TargetMode="External"/><Relationship Id="rId37" Type="http://schemas.openxmlformats.org/officeDocument/2006/relationships/hyperlink" Target="https://pdf.sciencedirectassets.com/271761/1-s2.0-S0168851016X00152/1-s2.0-S016885101630344X/main.pdf?X-Amz-Security-Token=IQoJb3JpZ2luX2VjEJb%2F%2F%2F%2F%2F%2F%2F%2F%2F%2FwEaCXVzLWVhc3QtMSJHMEUCIESx4Z47mPIvMQ%2FlDbS3Y4F7wVPhbFrCFDMN8myhWX1lAiEAqsHJJXJ6RM7wryZFPEmIVasg%2B4n32BOgRoQSguSbJB4qgwQIv%2F%2F%2F%2F%2F%2F%2F%2F%2F%2F%2FARAEGgwwNTkwMDM1NDY4NjUiDDIIizmEFJ2q2NucBCrXA6n0D4bAFN4ImrJr6r0Yx9U1h51sJJ%2BpD2g4MxEpcceeRUOrfhpG41LuKhn7u6cGiSjS8SbqpiMkrL8rNuFJggeeg%2BMsND%2FkAbdoG7rnk8rufIiojz9NfyRjE6kGR0vHwaITWqrnglFQtWfMxM1F2pc1pwA%2FEzxZeieuX3ass%2B38%2BjziAJdXZoW1tb%2FLTvXlidS30tZV4xTl2DJcXBSzirIhmC9ohraLu%2FG84pDAW5ZdhLNv8EZ%2FCCp7G8asGnccowMZUN5leGmS70sqkamaz5VwtJDOOBGfPgfJOfyvSR%2FFcmAVsi7FLvhBe8lhBrIRP5CrKmgOxTv3KstgTaZILvhvcqN6DuHE08HGyXJ741n%2FmuAylZUQxA3vNeReMsY75y%2Bzw29MLk5q4dKv%2Febi%2F0SCC5tRf4QFZ%2B0lHeog0IhJByemuNM%2BO4ok%2Fep2ckhsg%2FDtMOECv9kae7IXAAHR98dO%2FExFyMcxZcl1PfKfRF4OHtY7dn5SwwEZ%2BG9b%2B5%2B0EIVwpwCQxwwsrzKTsAqw%2BX7WplkMK%2BN%2F%2FC1lfQVzUzmYgR9ze8cAgtAbUYMWewy%2Fq1BsTRhIBZR240pNCEDTONBmH0fdDxXFjb5hsQB9OagKZ106mbAxajCh5v6IBjqlAWaKNL7dltUG%2FOWZNYaBO%2F8IYO9pLO%2BEUvHVB3TJOyhurSXqFZwBvfkwUPd4dcfhFrVDwRenWxodFAdegyoTC9%2F4ZpI0XWRo9B%2Bwse8zq6gPe%2B7NbMKPYCMRx9Y54RYIMHq2Cs5tGMCnyAfTgFkAJb0URQiv9k5bt8PrwKaQFqay4X3ckRZJWC7hzR2Hh%2FKJFYXFRWnX%2BGivZj0BiQRIRk6i6DuQLw%3D%3D&amp;X-Amz-Algorithm=AWS4-HMAC-SHA256&amp;X-Amz-Date=20210820T145326Z&amp;X-Amz-SignedHeaders=host&amp;X-Amz-Expires=300&amp;X-Amz-Credential=ASIAQ3PHCVTYSY2CWAU5%2F20210820%2Fus-east-1%2Fs3%2Faws4_request&amp;X-Amz-Signature=d24622f42f00efc39f3fa629729ec14c0ff51ac08d9f04e8125bc6f2004e3c1c&amp;hash=b39f12ce053745de5078d59ce0036f9399face3980e6bae88cf1cc0b01db9e30&amp;host=68042c943591013ac2b2430a89b270f6af2c76d8dfd086a07176afe7c76c2c61&amp;pii=S016885101630344X&amp;tid=spdf-1add2f4e-1494-48d1-8786-d24d2160fae1&amp;sid=e58aa52499d62041d8892306d0c32e6a349agxrqa&amp;type=client" TargetMode="External"/><Relationship Id="rId40"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hyperlink" Target="mailto:Adrienne.allison@unc.edu" TargetMode="External"/><Relationship Id="rId23" Type="http://schemas.openxmlformats.org/officeDocument/2006/relationships/image" Target="media/image4.svg"/><Relationship Id="rId28" Type="http://schemas.openxmlformats.org/officeDocument/2006/relationships/hyperlink" Target="https://www.cdc.gov/nchs/data/hus/hus19-508.pdf" TargetMode="External"/><Relationship Id="rId36" Type="http://schemas.openxmlformats.org/officeDocument/2006/relationships/hyperlink" Target="https://link.springer.com/article/10.1007%2Fs11606-014-3012-9" TargetMode="External"/><Relationship Id="rId10" Type="http://schemas.openxmlformats.org/officeDocument/2006/relationships/hyperlink" Target="https://catalog.unc.edu/policies-procedures/attendance-grading-examination/" TargetMode="External"/><Relationship Id="rId19" Type="http://schemas.openxmlformats.org/officeDocument/2006/relationships/hyperlink" Target="mailto:ars@unc.edu" TargetMode="External"/><Relationship Id="rId31" Type="http://schemas.openxmlformats.org/officeDocument/2006/relationships/hyperlink" Target="https://onlinelibrary.wiley.com/doi/full/10.1111/j.1475-6773.2007.00799.x?casa_token=9Fta3czW9vUAAAAA%3A9LnIHex9Q318JdzduarMng2nMylihs7fmru1q84Th6Kop_370PUiBXv3QqnYFTt1WdRDGtoeDIeV6DiZ" TargetMode="External"/><Relationship Id="rId4" Type="http://schemas.openxmlformats.org/officeDocument/2006/relationships/webSettings" Target="webSettings.xml"/><Relationship Id="rId9" Type="http://schemas.openxmlformats.org/officeDocument/2006/relationships/hyperlink" Target="https://catalog.unc.edu/policies-procedures/attendance-grading-examination/" TargetMode="External"/><Relationship Id="rId14" Type="http://schemas.openxmlformats.org/officeDocument/2006/relationships/hyperlink" Target="https://econ.unc.edu/undergraduate/econaid/" TargetMode="External"/><Relationship Id="rId22" Type="http://schemas.openxmlformats.org/officeDocument/2006/relationships/image" Target="media/image3.png"/><Relationship Id="rId27" Type="http://schemas.openxmlformats.org/officeDocument/2006/relationships/hyperlink" Target="https://www.brookings.edu/wp-content/uploads/2017/03/casedeaton_sp17_finaldraft.pdf" TargetMode="External"/><Relationship Id="rId30" Type="http://schemas.openxmlformats.org/officeDocument/2006/relationships/hyperlink" Target="https://www.socialsciencespace.com/2020/05/anne-case-on-deaths-of-despair/" TargetMode="External"/><Relationship Id="rId35" Type="http://schemas.openxmlformats.org/officeDocument/2006/relationships/hyperlink" Target="https://pubs.aeaweb.org/doi/pdfplus/10.1257/jep.14.4.189" TargetMode="External"/><Relationship Id="rId43" Type="http://schemas.openxmlformats.org/officeDocument/2006/relationships/theme" Target="theme/theme1.xml"/><Relationship Id="rId8" Type="http://schemas.openxmlformats.org/officeDocument/2006/relationships/hyperlink" Target="mailto:alexcowell@protonmail.com" TargetMode="External"/><Relationship Id="rId3" Type="http://schemas.openxmlformats.org/officeDocument/2006/relationships/settings" Target="settings.xml"/><Relationship Id="rId12" Type="http://schemas.openxmlformats.org/officeDocument/2006/relationships/hyperlink" Target="https://carolinatogether.unc.edu/university-guidelines-for-facemasks/" TargetMode="External"/><Relationship Id="rId17" Type="http://schemas.openxmlformats.org/officeDocument/2006/relationships/hyperlink" Target="mailto:gvsc@unc.edu" TargetMode="External"/><Relationship Id="rId25" Type="http://schemas.openxmlformats.org/officeDocument/2006/relationships/image" Target="media/image6.svg"/><Relationship Id="rId33" Type="http://schemas.openxmlformats.org/officeDocument/2006/relationships/hyperlink" Target="https://www.nber.org/system/files/working_papers/w17190/w17190.pdf" TargetMode="External"/><Relationship Id="rId38" Type="http://schemas.openxmlformats.org/officeDocument/2006/relationships/hyperlink" Target="http://libproxy.lib.unc.edu/login?url=https://www-proquest-com.libproxy.lib.unc.edu/scholarly-journals/can-we-close-income-wealth-gap-between/docview/304560686/se-2?accountid=14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4650</TotalTime>
  <Pages>9</Pages>
  <Words>3759</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Clancy</dc:creator>
  <cp:keywords/>
  <dc:description/>
  <cp:lastModifiedBy>Carolina Clancy</cp:lastModifiedBy>
  <cp:revision>84</cp:revision>
  <dcterms:created xsi:type="dcterms:W3CDTF">2021-08-15T19:31:00Z</dcterms:created>
  <dcterms:modified xsi:type="dcterms:W3CDTF">2021-08-24T01:01:00Z</dcterms:modified>
</cp:coreProperties>
</file>