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905019" w14:textId="77777777" w:rsidR="00554A9E" w:rsidRDefault="00554A9E" w:rsidP="00554A9E">
      <w:pPr>
        <w:autoSpaceDE w:val="0"/>
        <w:autoSpaceDN w:val="0"/>
        <w:adjustRightInd w:val="0"/>
        <w:spacing w:after="0" w:line="240" w:lineRule="auto"/>
        <w:jc w:val="center"/>
        <w:rPr>
          <w:rFonts w:ascii="URWPalladioL-Bold" w:hAnsi="URWPalladioL-Bold" w:cs="URWPalladioL-Bold"/>
          <w:b/>
          <w:bCs/>
          <w:color w:val="4B9DD4"/>
        </w:rPr>
      </w:pPr>
      <w:r>
        <w:rPr>
          <w:rFonts w:ascii="URWPalladioL-Bold" w:hAnsi="URWPalladioL-Bold" w:cs="URWPalladioL-Bold"/>
          <w:b/>
          <w:bCs/>
          <w:color w:val="4B9DD4"/>
        </w:rPr>
        <w:t>ECON 423: FINANCIAL MARKETS AND ECONOMIC FLUCTUATIONS</w:t>
      </w:r>
    </w:p>
    <w:p w14:paraId="3E5DBB21" w14:textId="3F9B2808" w:rsidR="00554A9E" w:rsidRDefault="008E6C61" w:rsidP="00554A9E">
      <w:pPr>
        <w:autoSpaceDE w:val="0"/>
        <w:autoSpaceDN w:val="0"/>
        <w:adjustRightInd w:val="0"/>
        <w:spacing w:after="0" w:line="240" w:lineRule="auto"/>
        <w:jc w:val="center"/>
        <w:rPr>
          <w:rFonts w:ascii="URWPalladioL-Roma" w:hAnsi="URWPalladioL-Roma" w:cs="URWPalladioL-Roma"/>
          <w:color w:val="000000"/>
        </w:rPr>
      </w:pPr>
      <w:r>
        <w:rPr>
          <w:rFonts w:ascii="URWPalladioL-Roma" w:hAnsi="URWPalladioL-Roma" w:cs="URWPalladioL-Roma"/>
          <w:color w:val="000000"/>
        </w:rPr>
        <w:t>FALL</w:t>
      </w:r>
      <w:r w:rsidR="00554A9E">
        <w:rPr>
          <w:rFonts w:ascii="URWPalladioL-Roma" w:hAnsi="URWPalladioL-Roma" w:cs="URWPalladioL-Roma"/>
          <w:color w:val="000000"/>
        </w:rPr>
        <w:t xml:space="preserve"> 202</w:t>
      </w:r>
      <w:r w:rsidR="000C4D11">
        <w:rPr>
          <w:rFonts w:ascii="URWPalladioL-Roma" w:hAnsi="URWPalladioL-Roma" w:cs="URWPalladioL-Roma"/>
          <w:color w:val="000000"/>
        </w:rPr>
        <w:t>1</w:t>
      </w:r>
    </w:p>
    <w:p w14:paraId="2CE0B7FB" w14:textId="77777777" w:rsidR="00554A9E" w:rsidRDefault="00554A9E" w:rsidP="00554A9E">
      <w:pPr>
        <w:autoSpaceDE w:val="0"/>
        <w:autoSpaceDN w:val="0"/>
        <w:adjustRightInd w:val="0"/>
        <w:spacing w:after="0" w:line="240" w:lineRule="auto"/>
        <w:jc w:val="center"/>
        <w:rPr>
          <w:rFonts w:ascii="URWPalladioL-Roma" w:hAnsi="URWPalladioL-Roma" w:cs="URWPalladioL-Roma"/>
          <w:color w:val="000000"/>
        </w:rPr>
      </w:pPr>
      <w:r>
        <w:rPr>
          <w:rFonts w:ascii="URWPalladioL-Roma" w:hAnsi="URWPalladioL-Roma" w:cs="URWPalladioL-Roma"/>
          <w:color w:val="000000"/>
        </w:rPr>
        <w:t>UNIVERSITY OF NORTH CAROLINA</w:t>
      </w:r>
    </w:p>
    <w:p w14:paraId="43FEED9A" w14:textId="77777777" w:rsidR="00554A9E" w:rsidRDefault="00554A9E" w:rsidP="00554A9E">
      <w:pPr>
        <w:autoSpaceDE w:val="0"/>
        <w:autoSpaceDN w:val="0"/>
        <w:adjustRightInd w:val="0"/>
        <w:spacing w:after="0" w:line="240" w:lineRule="auto"/>
        <w:jc w:val="center"/>
        <w:rPr>
          <w:rFonts w:ascii="URWPalladioL-Roma" w:hAnsi="URWPalladioL-Roma" w:cs="URWPalladioL-Roma"/>
          <w:color w:val="000000"/>
        </w:rPr>
      </w:pPr>
      <w:r>
        <w:rPr>
          <w:rFonts w:ascii="URWPalladioL-Roma" w:hAnsi="URWPalladioL-Roma" w:cs="URWPalladioL-Roma"/>
          <w:color w:val="000000"/>
        </w:rPr>
        <w:t>DEPARTMENT OF ECONOMICS</w:t>
      </w:r>
    </w:p>
    <w:p w14:paraId="25EE097C" w14:textId="77777777" w:rsidR="00554A9E" w:rsidRDefault="00554A9E" w:rsidP="00554A9E">
      <w:pPr>
        <w:autoSpaceDE w:val="0"/>
        <w:autoSpaceDN w:val="0"/>
        <w:adjustRightInd w:val="0"/>
        <w:spacing w:after="0" w:line="240" w:lineRule="auto"/>
        <w:jc w:val="center"/>
        <w:rPr>
          <w:rFonts w:ascii="URWPalladioL-Bold" w:hAnsi="URWPalladioL-Bold" w:cs="URWPalladioL-Bold"/>
          <w:b/>
          <w:bCs/>
          <w:color w:val="000000"/>
        </w:rPr>
      </w:pPr>
    </w:p>
    <w:p w14:paraId="37EE9A09" w14:textId="77777777" w:rsidR="00554A9E" w:rsidRDefault="00554A9E" w:rsidP="00554A9E">
      <w:pPr>
        <w:autoSpaceDE w:val="0"/>
        <w:autoSpaceDN w:val="0"/>
        <w:adjustRightInd w:val="0"/>
        <w:spacing w:after="0" w:line="240" w:lineRule="auto"/>
        <w:rPr>
          <w:rFonts w:ascii="URWPalladioL-Bold" w:hAnsi="URWPalladioL-Bold" w:cs="URWPalladioL-Bold"/>
          <w:b/>
          <w:bCs/>
          <w:color w:val="000000"/>
        </w:rPr>
      </w:pPr>
    </w:p>
    <w:p w14:paraId="579829C1" w14:textId="77777777"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Bold" w:hAnsi="URWPalladioL-Bold" w:cs="URWPalladioL-Bold"/>
          <w:b/>
          <w:bCs/>
          <w:color w:val="000000"/>
        </w:rPr>
        <w:t xml:space="preserve">Instructor: </w:t>
      </w:r>
      <w:r>
        <w:rPr>
          <w:rFonts w:ascii="URWPalladioL-Roma" w:hAnsi="URWPalladioL-Roma" w:cs="URWPalladioL-Roma"/>
          <w:color w:val="000000"/>
        </w:rPr>
        <w:t>Neville Francis</w:t>
      </w:r>
    </w:p>
    <w:p w14:paraId="0386ACD4" w14:textId="77777777" w:rsidR="00554A9E" w:rsidRDefault="00554A9E" w:rsidP="00554A9E">
      <w:pPr>
        <w:autoSpaceDE w:val="0"/>
        <w:autoSpaceDN w:val="0"/>
        <w:adjustRightInd w:val="0"/>
        <w:spacing w:after="0" w:line="240" w:lineRule="auto"/>
        <w:rPr>
          <w:rFonts w:ascii="URWPalladioL-Roma" w:hAnsi="URWPalladioL-Roma" w:cs="URWPalladioL-Roma"/>
          <w:color w:val="4B9DD4"/>
        </w:rPr>
      </w:pPr>
      <w:r>
        <w:rPr>
          <w:rFonts w:ascii="URWPalladioL-Bold" w:hAnsi="URWPalladioL-Bold" w:cs="URWPalladioL-Bold"/>
          <w:b/>
          <w:bCs/>
          <w:color w:val="000000"/>
        </w:rPr>
        <w:t xml:space="preserve">Contact: </w:t>
      </w:r>
      <w:r>
        <w:rPr>
          <w:rFonts w:ascii="URWPalladioL-Roma" w:hAnsi="URWPalladioL-Roma" w:cs="URWPalladioL-Roma"/>
          <w:color w:val="000000"/>
        </w:rPr>
        <w:t xml:space="preserve">Gardner Hall 06G, </w:t>
      </w:r>
      <w:r w:rsidRPr="00554A9E">
        <w:rPr>
          <w:rFonts w:ascii="URWPalladioL-Roma" w:hAnsi="URWPalladioL-Roma" w:cs="URWPalladioL-Roma"/>
          <w:color w:val="00B0F0"/>
        </w:rPr>
        <w:t>nfrancis@</w:t>
      </w:r>
      <w:r>
        <w:rPr>
          <w:rFonts w:ascii="URWPalladioL-Roma" w:hAnsi="URWPalladioL-Roma" w:cs="URWPalladioL-Roma"/>
          <w:color w:val="4B9DD4"/>
        </w:rPr>
        <w:t>unc.edu</w:t>
      </w:r>
    </w:p>
    <w:p w14:paraId="60A10114" w14:textId="388BA77A"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Bold" w:hAnsi="URWPalladioL-Bold" w:cs="URWPalladioL-Bold"/>
          <w:b/>
          <w:bCs/>
          <w:color w:val="000000"/>
        </w:rPr>
        <w:t xml:space="preserve">Lectures: </w:t>
      </w:r>
      <w:r w:rsidR="00E119B2">
        <w:rPr>
          <w:rFonts w:ascii="URWPalladioL-Roma" w:hAnsi="URWPalladioL-Roma" w:cs="URWPalladioL-Roma"/>
          <w:color w:val="000000"/>
        </w:rPr>
        <w:t>section 001: T/TH 9:</w:t>
      </w:r>
      <w:r w:rsidR="000C4D11">
        <w:rPr>
          <w:rFonts w:ascii="URWPalladioL-Roma" w:hAnsi="URWPalladioL-Roma" w:cs="URWPalladioL-Roma"/>
          <w:color w:val="000000"/>
        </w:rPr>
        <w:t>30</w:t>
      </w:r>
      <w:r w:rsidR="00E119B2">
        <w:rPr>
          <w:rFonts w:ascii="URWPalladioL-Roma" w:hAnsi="URWPalladioL-Roma" w:cs="URWPalladioL-Roma"/>
          <w:color w:val="000000"/>
        </w:rPr>
        <w:t xml:space="preserve"> AM – 1</w:t>
      </w:r>
      <w:r w:rsidR="000C4D11">
        <w:rPr>
          <w:rFonts w:ascii="URWPalladioL-Roma" w:hAnsi="URWPalladioL-Roma" w:cs="URWPalladioL-Roma"/>
          <w:color w:val="000000"/>
        </w:rPr>
        <w:t>0:45</w:t>
      </w:r>
      <w:r w:rsidR="00722788">
        <w:rPr>
          <w:rFonts w:ascii="URWPalladioL-Roma" w:hAnsi="URWPalladioL-Roma" w:cs="URWPalladioL-Roma"/>
          <w:color w:val="000000"/>
        </w:rPr>
        <w:t>AM</w:t>
      </w:r>
    </w:p>
    <w:p w14:paraId="1BB341B9" w14:textId="7154B5A9" w:rsidR="00554A9E" w:rsidRDefault="00E119B2"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section 002: T/TH 1</w:t>
      </w:r>
      <w:r w:rsidR="000C4D11">
        <w:rPr>
          <w:rFonts w:ascii="URWPalladioL-Roma" w:hAnsi="URWPalladioL-Roma" w:cs="URWPalladioL-Roma"/>
          <w:color w:val="000000"/>
        </w:rPr>
        <w:t>2</w:t>
      </w:r>
      <w:r>
        <w:rPr>
          <w:rFonts w:ascii="URWPalladioL-Roma" w:hAnsi="URWPalladioL-Roma" w:cs="URWPalladioL-Roma"/>
          <w:color w:val="000000"/>
        </w:rPr>
        <w:t>:30 AM – 1:4</w:t>
      </w:r>
      <w:r w:rsidR="00722788">
        <w:rPr>
          <w:rFonts w:ascii="URWPalladioL-Roma" w:hAnsi="URWPalladioL-Roma" w:cs="URWPalladioL-Roma"/>
          <w:color w:val="000000"/>
        </w:rPr>
        <w:t>5 PM</w:t>
      </w:r>
    </w:p>
    <w:p w14:paraId="46ED076F" w14:textId="77777777"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Bold" w:hAnsi="URWPalladioL-Bold" w:cs="URWPalladioL-Bold"/>
          <w:b/>
          <w:bCs/>
          <w:color w:val="000000"/>
        </w:rPr>
        <w:t xml:space="preserve">Office Hours: </w:t>
      </w:r>
      <w:r>
        <w:rPr>
          <w:rFonts w:ascii="URWPalladioL-Roma" w:hAnsi="URWPalladioL-Roma" w:cs="URWPalladioL-Roma"/>
          <w:color w:val="000000"/>
        </w:rPr>
        <w:t>by appointment</w:t>
      </w:r>
    </w:p>
    <w:p w14:paraId="0E431421" w14:textId="77777777" w:rsidR="006E18CF" w:rsidRDefault="006E18CF" w:rsidP="00554A9E">
      <w:pPr>
        <w:autoSpaceDE w:val="0"/>
        <w:autoSpaceDN w:val="0"/>
        <w:adjustRightInd w:val="0"/>
        <w:spacing w:after="0" w:line="240" w:lineRule="auto"/>
        <w:rPr>
          <w:rFonts w:ascii="URWPalladioL-Roma" w:hAnsi="URWPalladioL-Roma" w:cs="URWPalladioL-Roma"/>
          <w:color w:val="000000"/>
        </w:rPr>
      </w:pPr>
    </w:p>
    <w:p w14:paraId="3E67F18F" w14:textId="77777777" w:rsidR="00554A9E" w:rsidRDefault="006C6D3A" w:rsidP="00554A9E">
      <w:pPr>
        <w:autoSpaceDE w:val="0"/>
        <w:autoSpaceDN w:val="0"/>
        <w:adjustRightInd w:val="0"/>
        <w:spacing w:after="0" w:line="240" w:lineRule="auto"/>
        <w:rPr>
          <w:rFonts w:ascii="inherit" w:hAnsi="inherit" w:hint="eastAsia"/>
          <w:i/>
          <w:iCs/>
          <w:color w:val="201F1E"/>
          <w:bdr w:val="none" w:sz="0" w:space="0" w:color="auto" w:frame="1"/>
          <w:shd w:val="clear" w:color="auto" w:fill="FFFFFF"/>
        </w:rPr>
      </w:pPr>
      <w:bookmarkStart w:id="0" w:name="x__Hlk47521474"/>
      <w:r>
        <w:rPr>
          <w:rFonts w:ascii="inherit" w:hAnsi="inherit"/>
          <w:b/>
          <w:bCs/>
          <w:color w:val="201F1E"/>
          <w:bdr w:val="none" w:sz="0" w:space="0" w:color="auto" w:frame="1"/>
          <w:shd w:val="clear" w:color="auto" w:fill="FFFFFF"/>
        </w:rPr>
        <w:t>Title IX Resources</w:t>
      </w:r>
      <w:bookmarkEnd w:id="0"/>
      <w:r>
        <w:rPr>
          <w:rFonts w:ascii="inherit" w:hAnsi="inherit"/>
          <w:b/>
          <w:bCs/>
          <w:color w:val="201F1E"/>
          <w:bdr w:val="none" w:sz="0" w:space="0" w:color="auto" w:frame="1"/>
          <w:shd w:val="clear" w:color="auto" w:fill="FFFFFF"/>
        </w:rPr>
        <w:t xml:space="preserve">: </w:t>
      </w:r>
      <w:r>
        <w:rPr>
          <w:rFonts w:ascii="inherit" w:hAnsi="inherit"/>
          <w:i/>
          <w:iCs/>
          <w:color w:val="201F1E"/>
          <w:bdr w:val="none" w:sz="0" w:space="0" w:color="auto" w:frame="1"/>
          <w:shd w:val="clear" w:color="auto" w:fill="FFFFFF"/>
        </w:rPr>
        <w:t>Any student who is impacted by discrimination, harassment, interpersonal (relationship) violence, sexual violence, sexual exploitation, or stalking is encouraged to seek resources on campus or in the community. Please contact the Director of Title IX Compliance (Adrienne Allison – </w:t>
      </w:r>
      <w:hyperlink r:id="rId4" w:tgtFrame="_blank" w:history="1">
        <w:r>
          <w:rPr>
            <w:rStyle w:val="Hyperlink"/>
            <w:rFonts w:ascii="inherit" w:hAnsi="inherit"/>
            <w:i/>
            <w:iCs/>
            <w:color w:val="0563C1"/>
            <w:bdr w:val="none" w:sz="0" w:space="0" w:color="auto" w:frame="1"/>
            <w:shd w:val="clear" w:color="auto" w:fill="FFFFFF"/>
          </w:rPr>
          <w:t>Adrienne.allison@unc.edu</w:t>
        </w:r>
      </w:hyperlink>
      <w:r>
        <w:rPr>
          <w:rFonts w:ascii="inherit" w:hAnsi="inherit"/>
          <w:i/>
          <w:iCs/>
          <w:color w:val="201F1E"/>
          <w:bdr w:val="none" w:sz="0" w:space="0" w:color="auto" w:frame="1"/>
          <w:shd w:val="clear" w:color="auto" w:fill="FFFFFF"/>
        </w:rPr>
        <w:t>), Report and Response Coordinators in the Equal Opportunity and Compliance Office (</w:t>
      </w:r>
      <w:hyperlink r:id="rId5" w:tgtFrame="_blank" w:history="1">
        <w:r>
          <w:rPr>
            <w:rStyle w:val="Hyperlink"/>
            <w:rFonts w:ascii="inherit" w:hAnsi="inherit"/>
            <w:i/>
            <w:iCs/>
            <w:color w:val="0563C1"/>
            <w:bdr w:val="none" w:sz="0" w:space="0" w:color="auto" w:frame="1"/>
            <w:shd w:val="clear" w:color="auto" w:fill="FFFFFF"/>
          </w:rPr>
          <w:t>reportandresponse@unc.edu</w:t>
        </w:r>
      </w:hyperlink>
      <w:r>
        <w:rPr>
          <w:rFonts w:ascii="inherit" w:hAnsi="inherit"/>
          <w:i/>
          <w:iCs/>
          <w:color w:val="201F1E"/>
          <w:bdr w:val="none" w:sz="0" w:space="0" w:color="auto" w:frame="1"/>
          <w:shd w:val="clear" w:color="auto" w:fill="FFFFFF"/>
        </w:rPr>
        <w:t>), Counseling and Psychological Services (confidential), or the Gender Violence Services Coordinators (</w:t>
      </w:r>
      <w:hyperlink r:id="rId6" w:tgtFrame="_blank" w:history="1">
        <w:r>
          <w:rPr>
            <w:rStyle w:val="Hyperlink"/>
            <w:rFonts w:ascii="inherit" w:hAnsi="inherit"/>
            <w:i/>
            <w:iCs/>
            <w:color w:val="0563C1"/>
            <w:bdr w:val="none" w:sz="0" w:space="0" w:color="auto" w:frame="1"/>
            <w:shd w:val="clear" w:color="auto" w:fill="FFFFFF"/>
          </w:rPr>
          <w:t>gvsc@unc.edu</w:t>
        </w:r>
      </w:hyperlink>
      <w:r>
        <w:rPr>
          <w:rFonts w:ascii="inherit" w:hAnsi="inherit"/>
          <w:i/>
          <w:iCs/>
          <w:color w:val="201F1E"/>
          <w:bdr w:val="none" w:sz="0" w:space="0" w:color="auto" w:frame="1"/>
          <w:shd w:val="clear" w:color="auto" w:fill="FFFFFF"/>
        </w:rPr>
        <w:t>; confidential) to discuss your specific needs. Additional resources are available at safe.unc.edu.</w:t>
      </w:r>
    </w:p>
    <w:p w14:paraId="34AABDF0" w14:textId="77777777" w:rsidR="006C6D3A" w:rsidRDefault="006C6D3A" w:rsidP="00554A9E">
      <w:pPr>
        <w:autoSpaceDE w:val="0"/>
        <w:autoSpaceDN w:val="0"/>
        <w:adjustRightInd w:val="0"/>
        <w:spacing w:after="0" w:line="240" w:lineRule="auto"/>
        <w:rPr>
          <w:rFonts w:ascii="URWPalladioL-Bold" w:hAnsi="URWPalladioL-Bold" w:cs="URWPalladioL-Bold"/>
          <w:b/>
          <w:bCs/>
          <w:color w:val="000000"/>
        </w:rPr>
      </w:pPr>
    </w:p>
    <w:p w14:paraId="15456281" w14:textId="77777777" w:rsidR="00554A9E" w:rsidRDefault="006C6D3A" w:rsidP="00554A9E">
      <w:pPr>
        <w:autoSpaceDE w:val="0"/>
        <w:autoSpaceDN w:val="0"/>
        <w:adjustRightInd w:val="0"/>
        <w:spacing w:after="0" w:line="240" w:lineRule="auto"/>
        <w:rPr>
          <w:rFonts w:ascii="URWPalladioL-Ital" w:hAnsi="URWPalladioL-Ital" w:cs="URWPalladioL-Ital"/>
          <w:color w:val="000000"/>
        </w:rPr>
      </w:pPr>
      <w:r>
        <w:rPr>
          <w:rFonts w:ascii="URWPalladioL-Bold" w:hAnsi="URWPalladioL-Bold" w:cs="URWPalladioL-Bold"/>
          <w:b/>
          <w:bCs/>
          <w:color w:val="000000"/>
        </w:rPr>
        <w:t xml:space="preserve">Required textbook: </w:t>
      </w:r>
      <w:r w:rsidR="00554A9E">
        <w:rPr>
          <w:rFonts w:ascii="URWPalladioL-Roma" w:hAnsi="URWPalladioL-Roma" w:cs="URWPalladioL-Roma"/>
          <w:color w:val="000000"/>
        </w:rPr>
        <w:t xml:space="preserve">Frederic S. Mishkin, </w:t>
      </w:r>
      <w:r w:rsidR="00554A9E">
        <w:rPr>
          <w:rFonts w:ascii="URWPalladioL-Ital" w:hAnsi="URWPalladioL-Ital" w:cs="URWPalladioL-Ital"/>
          <w:color w:val="000000"/>
        </w:rPr>
        <w:t>The Economics of Money, Banking and Financial Markets</w:t>
      </w:r>
    </w:p>
    <w:p w14:paraId="21E098D3" w14:textId="77777777" w:rsidR="00554A9E" w:rsidRDefault="00554A9E" w:rsidP="006E18CF">
      <w:pPr>
        <w:autoSpaceDE w:val="0"/>
        <w:autoSpaceDN w:val="0"/>
        <w:adjustRightInd w:val="0"/>
        <w:spacing w:after="0" w:line="240" w:lineRule="auto"/>
        <w:jc w:val="both"/>
        <w:rPr>
          <w:rFonts w:ascii="URWPalladioL-Roma" w:hAnsi="URWPalladioL-Roma" w:cs="URWPalladioL-Roma"/>
          <w:color w:val="000000"/>
        </w:rPr>
      </w:pPr>
      <w:r>
        <w:rPr>
          <w:rFonts w:ascii="URWPalladioL-Roma" w:hAnsi="URWPalladioL-Roma" w:cs="URWPalladioL-Roma"/>
          <w:color w:val="000000"/>
        </w:rPr>
        <w:t>(12th Edition), Pearson, 2019. (ISBN-13: 9780134734217) The book is available at the UNC bookstore</w:t>
      </w:r>
    </w:p>
    <w:p w14:paraId="4053A5B4" w14:textId="77777777" w:rsidR="00554A9E" w:rsidRDefault="00554A9E" w:rsidP="006E18CF">
      <w:pPr>
        <w:autoSpaceDE w:val="0"/>
        <w:autoSpaceDN w:val="0"/>
        <w:adjustRightInd w:val="0"/>
        <w:spacing w:after="0" w:line="240" w:lineRule="auto"/>
        <w:jc w:val="both"/>
        <w:rPr>
          <w:rFonts w:ascii="URWPalladioL-Roma" w:hAnsi="URWPalladioL-Roma" w:cs="URWPalladioL-Roma"/>
          <w:color w:val="000000"/>
        </w:rPr>
      </w:pPr>
      <w:r>
        <w:rPr>
          <w:rFonts w:ascii="URWPalladioL-Roma" w:hAnsi="URWPalladioL-Roma" w:cs="URWPalladioL-Roma"/>
          <w:color w:val="000000"/>
        </w:rPr>
        <w:t xml:space="preserve">and </w:t>
      </w:r>
      <w:proofErr w:type="spellStart"/>
      <w:r>
        <w:rPr>
          <w:rFonts w:ascii="URWPalladioL-Roma" w:hAnsi="URWPalladioL-Roma" w:cs="URWPalladioL-Roma"/>
          <w:color w:val="4B9DD4"/>
        </w:rPr>
        <w:t>eText</w:t>
      </w:r>
      <w:proofErr w:type="spellEnd"/>
      <w:r>
        <w:rPr>
          <w:rFonts w:ascii="URWPalladioL-Roma" w:hAnsi="URWPalladioL-Roma" w:cs="URWPalladioL-Roma"/>
          <w:color w:val="4B9DD4"/>
        </w:rPr>
        <w:t xml:space="preserve"> </w:t>
      </w:r>
      <w:r>
        <w:rPr>
          <w:rFonts w:ascii="URWPalladioL-Roma" w:hAnsi="URWPalladioL-Roma" w:cs="URWPalladioL-Roma"/>
          <w:color w:val="000000"/>
        </w:rPr>
        <w:t xml:space="preserve">is also available. Earlier editions (preferably the 11th or the 10th) are </w:t>
      </w:r>
      <w:r>
        <w:rPr>
          <w:rFonts w:ascii="URWPalladioL-Ital" w:hAnsi="URWPalladioL-Ital" w:cs="URWPalladioL-Ital"/>
          <w:color w:val="000000"/>
        </w:rPr>
        <w:t>acceptable</w:t>
      </w:r>
      <w:r>
        <w:rPr>
          <w:rFonts w:ascii="URWPalladioL-Roma" w:hAnsi="URWPalladioL-Roma" w:cs="URWPalladioL-Roma"/>
          <w:color w:val="000000"/>
        </w:rPr>
        <w:t>.</w:t>
      </w:r>
    </w:p>
    <w:p w14:paraId="6408B611" w14:textId="77777777"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The business school edition of the same textbook is also acceptable. But chapter numbers are a</w:t>
      </w:r>
    </w:p>
    <w:p w14:paraId="3D3D958C" w14:textId="77777777"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little different.</w:t>
      </w:r>
    </w:p>
    <w:p w14:paraId="7E9F00DC" w14:textId="77777777" w:rsidR="00554A9E" w:rsidRDefault="00554A9E" w:rsidP="00554A9E">
      <w:pPr>
        <w:autoSpaceDE w:val="0"/>
        <w:autoSpaceDN w:val="0"/>
        <w:adjustRightInd w:val="0"/>
        <w:spacing w:after="0" w:line="240" w:lineRule="auto"/>
        <w:rPr>
          <w:rFonts w:ascii="URWPalladioL-Bold" w:hAnsi="URWPalladioL-Bold" w:cs="URWPalladioL-Bold"/>
          <w:b/>
          <w:bCs/>
          <w:color w:val="000000"/>
        </w:rPr>
      </w:pPr>
    </w:p>
    <w:p w14:paraId="34F0F26E" w14:textId="77777777"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Bold" w:hAnsi="URWPalladioL-Bold" w:cs="URWPalladioL-Bold"/>
          <w:b/>
          <w:bCs/>
          <w:color w:val="000000"/>
        </w:rPr>
        <w:t xml:space="preserve">Additional reading materials. </w:t>
      </w:r>
      <w:r>
        <w:rPr>
          <w:rFonts w:ascii="URWPalladioL-Roma" w:hAnsi="URWPalladioL-Roma" w:cs="URWPalladioL-Roma"/>
          <w:color w:val="000000"/>
        </w:rPr>
        <w:t>I encourage you to follow the real-time financial and economic</w:t>
      </w:r>
    </w:p>
    <w:p w14:paraId="1A913F34" w14:textId="77777777"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 xml:space="preserve">news. Some typical sources are </w:t>
      </w:r>
      <w:proofErr w:type="spellStart"/>
      <w:r>
        <w:rPr>
          <w:rFonts w:ascii="URWPalladioL-Roma" w:hAnsi="URWPalladioL-Roma" w:cs="URWPalladioL-Roma"/>
          <w:color w:val="000000"/>
        </w:rPr>
        <w:t>TheWall</w:t>
      </w:r>
      <w:proofErr w:type="spellEnd"/>
      <w:r>
        <w:rPr>
          <w:rFonts w:ascii="URWPalladioL-Roma" w:hAnsi="URWPalladioL-Roma" w:cs="URWPalladioL-Roma"/>
          <w:color w:val="000000"/>
        </w:rPr>
        <w:t xml:space="preserve"> Street Journal, Financial Times, The Economist, Bloomberg,</w:t>
      </w:r>
    </w:p>
    <w:p w14:paraId="51326E2E" w14:textId="77777777"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etc. We will discuss a few particularly important/relevant/interesting pieces in class.</w:t>
      </w:r>
    </w:p>
    <w:p w14:paraId="16B9AEB5" w14:textId="77777777" w:rsidR="00554A9E" w:rsidRDefault="00554A9E" w:rsidP="00554A9E">
      <w:pPr>
        <w:autoSpaceDE w:val="0"/>
        <w:autoSpaceDN w:val="0"/>
        <w:adjustRightInd w:val="0"/>
        <w:spacing w:after="0" w:line="240" w:lineRule="auto"/>
        <w:rPr>
          <w:rFonts w:ascii="URWPalladioL-Bold" w:hAnsi="URWPalladioL-Bold" w:cs="URWPalladioL-Bold"/>
          <w:b/>
          <w:bCs/>
          <w:color w:val="000000"/>
        </w:rPr>
      </w:pPr>
    </w:p>
    <w:p w14:paraId="6C7020FB" w14:textId="77777777"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Bold" w:hAnsi="URWPalladioL-Bold" w:cs="URWPalladioL-Bold"/>
          <w:b/>
          <w:bCs/>
          <w:color w:val="000000"/>
        </w:rPr>
        <w:t xml:space="preserve">Where to get help and email policy. </w:t>
      </w:r>
      <w:r>
        <w:rPr>
          <w:rFonts w:ascii="URWPalladioL-Roma" w:hAnsi="URWPalladioL-Roma" w:cs="URWPalladioL-Roma"/>
          <w:color w:val="000000"/>
        </w:rPr>
        <w:t>I find it very helpful to form small study groups and I</w:t>
      </w:r>
    </w:p>
    <w:p w14:paraId="24AE251C" w14:textId="77777777" w:rsidR="00554A9E" w:rsidRDefault="00554A9E" w:rsidP="00554A9E">
      <w:pPr>
        <w:autoSpaceDE w:val="0"/>
        <w:autoSpaceDN w:val="0"/>
        <w:adjustRightInd w:val="0"/>
        <w:spacing w:after="0" w:line="240" w:lineRule="auto"/>
        <w:rPr>
          <w:rFonts w:ascii="URWPalladioL-Roma" w:hAnsi="URWPalladioL-Roma" w:cs="URWPalladioL-Roma"/>
          <w:color w:val="4B9DD4"/>
        </w:rPr>
      </w:pPr>
      <w:r>
        <w:rPr>
          <w:rFonts w:ascii="URWPalladioL-Roma" w:hAnsi="URWPalladioL-Roma" w:cs="URWPalladioL-Roma"/>
          <w:color w:val="000000"/>
        </w:rPr>
        <w:t xml:space="preserve">strongly encourage you to do so. You can also go to peer tutoring </w:t>
      </w:r>
      <w:r>
        <w:rPr>
          <w:rFonts w:ascii="URWPalladioL-Roma" w:hAnsi="URWPalladioL-Roma" w:cs="URWPalladioL-Roma"/>
          <w:color w:val="4B9DD4"/>
        </w:rPr>
        <w:t>http://learningcenter.unc.edu/finda-</w:t>
      </w:r>
    </w:p>
    <w:p w14:paraId="47D27A9D" w14:textId="77777777"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4B9DD4"/>
        </w:rPr>
        <w:t>tutor/</w:t>
      </w:r>
      <w:r>
        <w:rPr>
          <w:rFonts w:ascii="URWPalladioL-Roma" w:hAnsi="URWPalladioL-Roma" w:cs="URWPalladioL-Roma"/>
          <w:color w:val="000000"/>
        </w:rPr>
        <w:t>. I am also available via email for shorter questions. Or you can schedule an appointment</w:t>
      </w:r>
    </w:p>
    <w:p w14:paraId="70B6B1E6" w14:textId="77777777"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with me. I will respond as soon as possible but please 1) include a specific reason for your meeting</w:t>
      </w:r>
    </w:p>
    <w:p w14:paraId="2BD3AEBB" w14:textId="77777777"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request; 2) include all times in which you are available to meet; and 3) put “ECON 423” on the subject</w:t>
      </w:r>
    </w:p>
    <w:p w14:paraId="72E2FE3E" w14:textId="77777777" w:rsidR="00554A9E" w:rsidRDefault="00554A9E" w:rsidP="00554A9E">
      <w:pPr>
        <w:autoSpaceDE w:val="0"/>
        <w:autoSpaceDN w:val="0"/>
        <w:adjustRightInd w:val="0"/>
        <w:spacing w:after="0" w:line="240" w:lineRule="auto"/>
        <w:rPr>
          <w:rFonts w:ascii="URWPalladioL-Roma" w:hAnsi="URWPalladioL-Roma" w:cs="URWPalladioL-Roma"/>
          <w:color w:val="4B9DD4"/>
        </w:rPr>
      </w:pPr>
      <w:r>
        <w:rPr>
          <w:rFonts w:ascii="URWPalladioL-Roma" w:hAnsi="URWPalladioL-Roma" w:cs="URWPalladioL-Roma"/>
          <w:color w:val="000000"/>
        </w:rPr>
        <w:t xml:space="preserve">line. Please use proper email etiquette (see, for example, </w:t>
      </w:r>
      <w:r>
        <w:rPr>
          <w:rFonts w:ascii="URWPalladioL-Roma" w:hAnsi="URWPalladioL-Roma" w:cs="URWPalladioL-Roma"/>
          <w:color w:val="4B9DD4"/>
        </w:rPr>
        <w:t>http://www.usm.edu/chemistrybiochemistry/</w:t>
      </w:r>
    </w:p>
    <w:p w14:paraId="09408737" w14:textId="77777777"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4B9DD4"/>
        </w:rPr>
        <w:t xml:space="preserve">e-mail-etiquette-adapted-academia </w:t>
      </w:r>
      <w:r>
        <w:rPr>
          <w:rFonts w:ascii="URWPalladioL-Roma" w:hAnsi="URWPalladioL-Roma" w:cs="URWPalladioL-Roma"/>
          <w:color w:val="000000"/>
        </w:rPr>
        <w:t>for details).</w:t>
      </w:r>
    </w:p>
    <w:p w14:paraId="0B8FF1AC" w14:textId="77777777" w:rsidR="00554A9E" w:rsidRDefault="00554A9E" w:rsidP="00554A9E">
      <w:pPr>
        <w:autoSpaceDE w:val="0"/>
        <w:autoSpaceDN w:val="0"/>
        <w:adjustRightInd w:val="0"/>
        <w:spacing w:after="0" w:line="240" w:lineRule="auto"/>
        <w:rPr>
          <w:rFonts w:ascii="URWPalladioL-Bold" w:hAnsi="URWPalladioL-Bold" w:cs="URWPalladioL-Bold"/>
          <w:b/>
          <w:bCs/>
          <w:color w:val="000000"/>
        </w:rPr>
      </w:pPr>
    </w:p>
    <w:p w14:paraId="2C36F8CD" w14:textId="77777777"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Bold" w:hAnsi="URWPalladioL-Bold" w:cs="URWPalladioL-Bold"/>
          <w:b/>
          <w:bCs/>
          <w:color w:val="000000"/>
        </w:rPr>
        <w:t xml:space="preserve">Course description and objectives. </w:t>
      </w:r>
      <w:r>
        <w:rPr>
          <w:rFonts w:ascii="URWPalladioL-Roma" w:hAnsi="URWPalladioL-Roma" w:cs="URWPalladioL-Roma"/>
          <w:color w:val="000000"/>
        </w:rPr>
        <w:t>This course studies the financial system from an economic</w:t>
      </w:r>
    </w:p>
    <w:p w14:paraId="53F3957B" w14:textId="77777777"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perspective. We will examine major financial assets and markets, financial intermediation, central</w:t>
      </w:r>
    </w:p>
    <w:p w14:paraId="42BA74B0" w14:textId="77777777"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banking, and monetary policy.</w:t>
      </w:r>
    </w:p>
    <w:p w14:paraId="061B5816" w14:textId="77777777" w:rsidR="00554A9E" w:rsidRDefault="00554A9E" w:rsidP="00554A9E">
      <w:pPr>
        <w:autoSpaceDE w:val="0"/>
        <w:autoSpaceDN w:val="0"/>
        <w:adjustRightInd w:val="0"/>
        <w:spacing w:after="0" w:line="240" w:lineRule="auto"/>
        <w:rPr>
          <w:rFonts w:ascii="URWPalladioL-Bold" w:hAnsi="URWPalladioL-Bold" w:cs="URWPalladioL-Bold"/>
          <w:b/>
          <w:bCs/>
          <w:color w:val="000000"/>
        </w:rPr>
      </w:pPr>
    </w:p>
    <w:p w14:paraId="620EF6CB" w14:textId="77777777"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Bold" w:hAnsi="URWPalladioL-Bold" w:cs="URWPalladioL-Bold"/>
          <w:b/>
          <w:bCs/>
          <w:color w:val="000000"/>
        </w:rPr>
        <w:t xml:space="preserve">Grading schedule. </w:t>
      </w:r>
      <w:r>
        <w:rPr>
          <w:rFonts w:ascii="URWPalladioL-Roma" w:hAnsi="URWPalladioL-Roma" w:cs="URWPalladioL-Roma"/>
          <w:color w:val="000000"/>
        </w:rPr>
        <w:t>I expect you to take advantage of the small class size and actively participate in</w:t>
      </w:r>
    </w:p>
    <w:p w14:paraId="731EA96D" w14:textId="77777777"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the in-class discussions. You are expected to work hard outside of the classroom as well. Assignments,</w:t>
      </w:r>
    </w:p>
    <w:p w14:paraId="7A56B913" w14:textId="77777777"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 xml:space="preserve">two in-class midterms, and a </w:t>
      </w:r>
      <w:r>
        <w:rPr>
          <w:rFonts w:ascii="URWPalladioL-Ital" w:hAnsi="URWPalladioL-Ital" w:cs="URWPalladioL-Ital"/>
          <w:color w:val="000000"/>
        </w:rPr>
        <w:t xml:space="preserve">cumulative </w:t>
      </w:r>
      <w:r>
        <w:rPr>
          <w:rFonts w:ascii="URWPalladioL-Roma" w:hAnsi="URWPalladioL-Roma" w:cs="URWPalladioL-Roma"/>
          <w:color w:val="000000"/>
        </w:rPr>
        <w:t>final exam will count towards the final numerical</w:t>
      </w:r>
    </w:p>
    <w:p w14:paraId="6C06FF1E" w14:textId="77777777"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grade as follows:</w:t>
      </w:r>
    </w:p>
    <w:p w14:paraId="63760D6B" w14:textId="77777777" w:rsidR="00F3708A" w:rsidRDefault="00F3708A" w:rsidP="00554A9E">
      <w:pPr>
        <w:autoSpaceDE w:val="0"/>
        <w:autoSpaceDN w:val="0"/>
        <w:adjustRightInd w:val="0"/>
        <w:spacing w:after="0" w:line="240" w:lineRule="auto"/>
        <w:rPr>
          <w:rFonts w:ascii="URWPalladioL-Roma" w:hAnsi="URWPalladioL-Roma" w:cs="URWPalladioL-Roma"/>
          <w:color w:val="000000"/>
        </w:rPr>
      </w:pPr>
    </w:p>
    <w:p w14:paraId="42EDB4E3" w14:textId="77777777" w:rsidR="00554A9E" w:rsidRPr="00F3708A" w:rsidRDefault="00554A9E" w:rsidP="00554A9E">
      <w:pPr>
        <w:autoSpaceDE w:val="0"/>
        <w:autoSpaceDN w:val="0"/>
        <w:adjustRightInd w:val="0"/>
        <w:spacing w:after="0" w:line="240" w:lineRule="auto"/>
        <w:rPr>
          <w:rFonts w:ascii="URWPalladioL-Roma" w:hAnsi="URWPalladioL-Roma" w:cs="URWPalladioL-Roma"/>
          <w:b/>
          <w:color w:val="000000"/>
        </w:rPr>
      </w:pPr>
      <w:r w:rsidRPr="00F3708A">
        <w:rPr>
          <w:rFonts w:ascii="URWPalladioL-Roma" w:hAnsi="URWPalladioL-Roma" w:cs="URWPalladioL-Roma"/>
          <w:b/>
          <w:color w:val="000000"/>
        </w:rPr>
        <w:t>Item Weight</w:t>
      </w:r>
    </w:p>
    <w:p w14:paraId="34413B56" w14:textId="77777777" w:rsidR="00554A9E" w:rsidRDefault="00554A9E" w:rsidP="00554A9E">
      <w:pPr>
        <w:autoSpaceDE w:val="0"/>
        <w:autoSpaceDN w:val="0"/>
        <w:adjustRightInd w:val="0"/>
        <w:spacing w:after="0" w:line="240" w:lineRule="auto"/>
        <w:rPr>
          <w:rFonts w:ascii="cmr10" w:hAnsi="cmr10" w:cs="cmr10"/>
          <w:color w:val="000000"/>
        </w:rPr>
      </w:pPr>
      <w:r>
        <w:rPr>
          <w:rFonts w:ascii="URWPalladioL-Roma" w:hAnsi="URWPalladioL-Roma" w:cs="URWPalladioL-Roma"/>
          <w:color w:val="000000"/>
        </w:rPr>
        <w:lastRenderedPageBreak/>
        <w:t>Assignments</w:t>
      </w:r>
      <w:r w:rsidR="00F3708A">
        <w:rPr>
          <w:rFonts w:ascii="URWPalladioL-Roma" w:hAnsi="URWPalladioL-Roma" w:cs="URWPalladioL-Roma"/>
          <w:color w:val="000000"/>
        </w:rPr>
        <w:t>:</w:t>
      </w:r>
      <w:r>
        <w:rPr>
          <w:rFonts w:ascii="URWPalladioL-Roma" w:hAnsi="URWPalladioL-Roma" w:cs="URWPalladioL-Roma"/>
          <w:color w:val="000000"/>
        </w:rPr>
        <w:t xml:space="preserve"> 15% </w:t>
      </w:r>
    </w:p>
    <w:p w14:paraId="458E2809" w14:textId="77777777"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Midterm I</w:t>
      </w:r>
      <w:r w:rsidR="00F3708A">
        <w:rPr>
          <w:rFonts w:ascii="URWPalladioL-Roma" w:hAnsi="URWPalladioL-Roma" w:cs="URWPalladioL-Roma"/>
          <w:color w:val="000000"/>
        </w:rPr>
        <w:t>:</w:t>
      </w:r>
      <w:r>
        <w:rPr>
          <w:rFonts w:ascii="URWPalladioL-Roma" w:hAnsi="URWPalladioL-Roma" w:cs="URWPalladioL-Roma"/>
          <w:color w:val="000000"/>
        </w:rPr>
        <w:t xml:space="preserve"> 25% </w:t>
      </w:r>
    </w:p>
    <w:p w14:paraId="79A2BA48" w14:textId="77777777"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Midterm II</w:t>
      </w:r>
      <w:r w:rsidR="00F3708A">
        <w:rPr>
          <w:rFonts w:ascii="URWPalladioL-Roma" w:hAnsi="URWPalladioL-Roma" w:cs="URWPalladioL-Roma"/>
          <w:color w:val="000000"/>
        </w:rPr>
        <w:t>:</w:t>
      </w:r>
      <w:r>
        <w:rPr>
          <w:rFonts w:ascii="URWPalladioL-Roma" w:hAnsi="URWPalladioL-Roma" w:cs="URWPalladioL-Roma"/>
          <w:color w:val="000000"/>
        </w:rPr>
        <w:t xml:space="preserve"> 25% </w:t>
      </w:r>
    </w:p>
    <w:p w14:paraId="72D15443" w14:textId="77777777" w:rsidR="00F3708A" w:rsidRDefault="00554A9E" w:rsidP="00E119B2">
      <w:pPr>
        <w:autoSpaceDE w:val="0"/>
        <w:autoSpaceDN w:val="0"/>
        <w:adjustRightInd w:val="0"/>
        <w:spacing w:after="0" w:line="240" w:lineRule="auto"/>
        <w:rPr>
          <w:rFonts w:ascii="URWPalladioL-Roma" w:hAnsi="URWPalladioL-Roma" w:cs="URWPalladioL-Roma"/>
          <w:color w:val="000000"/>
        </w:rPr>
      </w:pPr>
      <w:r>
        <w:rPr>
          <w:rFonts w:ascii="URWPalladioL-Bold" w:hAnsi="URWPalladioL-Bold" w:cs="URWPalladioL-Bold"/>
          <w:b/>
          <w:bCs/>
          <w:color w:val="4B9DD4"/>
        </w:rPr>
        <w:t xml:space="preserve">Final Exam </w:t>
      </w:r>
      <w:r>
        <w:rPr>
          <w:rFonts w:ascii="URWPalladioL-Roma" w:hAnsi="URWPalladioL-Roma" w:cs="URWPalladioL-Roma"/>
          <w:color w:val="000000"/>
        </w:rPr>
        <w:t xml:space="preserve">35% </w:t>
      </w:r>
    </w:p>
    <w:p w14:paraId="639A9522" w14:textId="77777777" w:rsidR="00E119B2" w:rsidRDefault="00E119B2" w:rsidP="00E119B2">
      <w:pPr>
        <w:autoSpaceDE w:val="0"/>
        <w:autoSpaceDN w:val="0"/>
        <w:adjustRightInd w:val="0"/>
        <w:spacing w:after="0" w:line="240" w:lineRule="auto"/>
        <w:rPr>
          <w:rFonts w:ascii="URWPalladioL-Roma" w:hAnsi="URWPalladioL-Roma" w:cs="URWPalladioL-Roma"/>
          <w:color w:val="000000"/>
        </w:rPr>
      </w:pPr>
    </w:p>
    <w:p w14:paraId="3C5830DD" w14:textId="77777777" w:rsidR="00554A9E" w:rsidRDefault="00554A9E" w:rsidP="00F3708A">
      <w:pPr>
        <w:autoSpaceDE w:val="0"/>
        <w:autoSpaceDN w:val="0"/>
        <w:adjustRightInd w:val="0"/>
        <w:spacing w:after="0" w:line="240" w:lineRule="auto"/>
        <w:rPr>
          <w:rFonts w:ascii="URWPalladioL-Roma" w:hAnsi="URWPalladioL-Roma" w:cs="URWPalladioL-Roma"/>
          <w:color w:val="000000"/>
        </w:rPr>
      </w:pPr>
      <w:r>
        <w:rPr>
          <w:rFonts w:ascii="URWPalladioL-Bold" w:hAnsi="URWPalladioL-Bold" w:cs="URWPalladioL-Bold"/>
          <w:b/>
          <w:bCs/>
          <w:color w:val="000000"/>
        </w:rPr>
        <w:t xml:space="preserve">Assignments: </w:t>
      </w:r>
      <w:r>
        <w:rPr>
          <w:rFonts w:ascii="URWPalladioL-Roma" w:hAnsi="URWPalladioL-Roma" w:cs="URWPalladioL-Roma"/>
          <w:color w:val="000000"/>
        </w:rPr>
        <w:t xml:space="preserve">There will be around 8 </w:t>
      </w:r>
      <w:r w:rsidR="00F3708A">
        <w:rPr>
          <w:rFonts w:ascii="URWPalladioL-Roma" w:hAnsi="URWPalladioL-Roma" w:cs="URWPalladioL-Roma"/>
          <w:color w:val="000000"/>
        </w:rPr>
        <w:t xml:space="preserve">in-class quizzes and </w:t>
      </w:r>
      <w:r>
        <w:rPr>
          <w:rFonts w:ascii="URWPalladioL-Roma" w:hAnsi="URWPalladioL-Roma" w:cs="URWPalladioL-Roma"/>
          <w:color w:val="000000"/>
        </w:rPr>
        <w:t xml:space="preserve">problem sets. Late submissions </w:t>
      </w:r>
      <w:r w:rsidR="00F3708A">
        <w:rPr>
          <w:rFonts w:ascii="URWPalladioL-Roma" w:hAnsi="URWPalladioL-Roma" w:cs="URWPalladioL-Roma"/>
          <w:color w:val="000000"/>
        </w:rPr>
        <w:t xml:space="preserve">of problem set </w:t>
      </w:r>
      <w:r>
        <w:rPr>
          <w:rFonts w:ascii="URWPalladioL-Roma" w:hAnsi="URWPalladioL-Roma" w:cs="URWPalladioL-Roma"/>
          <w:color w:val="000000"/>
        </w:rPr>
        <w:t xml:space="preserve">automatically result in forfeited points. </w:t>
      </w:r>
    </w:p>
    <w:p w14:paraId="1E575D43" w14:textId="77777777"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Bold" w:hAnsi="URWPalladioL-Bold" w:cs="URWPalladioL-Bold"/>
          <w:b/>
          <w:bCs/>
          <w:color w:val="000000"/>
        </w:rPr>
        <w:t xml:space="preserve">Midterms: </w:t>
      </w:r>
      <w:r>
        <w:rPr>
          <w:rFonts w:ascii="URWPalladioL-Roma" w:hAnsi="URWPalladioL-Roma" w:cs="URWPalladioL-Roma"/>
          <w:color w:val="000000"/>
        </w:rPr>
        <w:t>The two midterm exams will be held during usual lecture hours in class. The</w:t>
      </w:r>
    </w:p>
    <w:p w14:paraId="18A1980D" w14:textId="77777777"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 xml:space="preserve">midterms are </w:t>
      </w:r>
      <w:r>
        <w:rPr>
          <w:rFonts w:ascii="URWPalladioL-Ital" w:hAnsi="URWPalladioL-Ital" w:cs="URWPalladioL-Ital"/>
          <w:color w:val="000000"/>
        </w:rPr>
        <w:t xml:space="preserve">not </w:t>
      </w:r>
      <w:r>
        <w:rPr>
          <w:rFonts w:ascii="URWPalladioL-Roma" w:hAnsi="URWPalladioL-Roma" w:cs="URWPalladioL-Roma"/>
          <w:color w:val="000000"/>
        </w:rPr>
        <w:t>cumulative. If you must miss a midterm exam for reasons that fall in to</w:t>
      </w:r>
    </w:p>
    <w:p w14:paraId="0A52F3DB" w14:textId="77777777" w:rsidR="00554A9E" w:rsidRDefault="00554A9E" w:rsidP="00554A9E">
      <w:pPr>
        <w:autoSpaceDE w:val="0"/>
        <w:autoSpaceDN w:val="0"/>
        <w:adjustRightInd w:val="0"/>
        <w:spacing w:after="0" w:line="240" w:lineRule="auto"/>
        <w:rPr>
          <w:rFonts w:ascii="URWPalladioL-Roma" w:hAnsi="URWPalladioL-Roma" w:cs="URWPalladioL-Roma"/>
          <w:color w:val="4B9DD4"/>
        </w:rPr>
      </w:pPr>
      <w:r>
        <w:rPr>
          <w:rFonts w:ascii="URWPalladioL-Roma" w:hAnsi="URWPalladioL-Roma" w:cs="URWPalladioL-Roma"/>
          <w:color w:val="000000"/>
        </w:rPr>
        <w:t xml:space="preserve">the University Approved Absences (see the university policy </w:t>
      </w:r>
      <w:r>
        <w:rPr>
          <w:rFonts w:ascii="URWPalladioL-Roma" w:hAnsi="URWPalladioL-Roma" w:cs="URWPalladioL-Roma"/>
          <w:color w:val="4B9DD4"/>
        </w:rPr>
        <w:t>http://catalog.unc.edu/policiesprocedures/</w:t>
      </w:r>
    </w:p>
    <w:p w14:paraId="2B61D6D3" w14:textId="77777777"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4B9DD4"/>
        </w:rPr>
        <w:t>attendance-grading-examination/</w:t>
      </w:r>
      <w:r>
        <w:rPr>
          <w:rFonts w:ascii="URWPalladioL-Roma" w:hAnsi="URWPalladioL-Roma" w:cs="URWPalladioL-Roma"/>
          <w:color w:val="000000"/>
        </w:rPr>
        <w:t xml:space="preserve">), contact me </w:t>
      </w:r>
      <w:r>
        <w:rPr>
          <w:rFonts w:ascii="URWPalladioL-Ital" w:hAnsi="URWPalladioL-Ital" w:cs="URWPalladioL-Ital"/>
          <w:color w:val="000000"/>
        </w:rPr>
        <w:t xml:space="preserve">before </w:t>
      </w:r>
      <w:r>
        <w:rPr>
          <w:rFonts w:ascii="URWPalladioL-Roma" w:hAnsi="URWPalladioL-Roma" w:cs="URWPalladioL-Roma"/>
          <w:color w:val="000000"/>
        </w:rPr>
        <w:t>the exam date (or before</w:t>
      </w:r>
    </w:p>
    <w:p w14:paraId="637B3451" w14:textId="77777777"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the lecture date after the exam date in cases of emergency) to schedule a make-up exam; or</w:t>
      </w:r>
    </w:p>
    <w:p w14:paraId="0892F533" w14:textId="77777777"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 xml:space="preserve">no make-up exam will be </w:t>
      </w:r>
      <w:r w:rsidR="00F3708A">
        <w:rPr>
          <w:rFonts w:ascii="URWPalladioL-Roma" w:hAnsi="URWPalladioL-Roma" w:cs="URWPalladioL-Roma"/>
          <w:color w:val="000000"/>
        </w:rPr>
        <w:t>arranged,</w:t>
      </w:r>
      <w:r>
        <w:rPr>
          <w:rFonts w:ascii="URWPalladioL-Roma" w:hAnsi="URWPalladioL-Roma" w:cs="URWPalladioL-Roma"/>
          <w:color w:val="000000"/>
        </w:rPr>
        <w:t xml:space="preserve"> and the weight will be moved to the final exam. There</w:t>
      </w:r>
    </w:p>
    <w:p w14:paraId="08D55CFA" w14:textId="77777777"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are no make-up midterm exams for reasons other than University Approved Absences; but</w:t>
      </w:r>
    </w:p>
    <w:p w14:paraId="7C5CA62D" w14:textId="77777777"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 xml:space="preserve">if you contact me </w:t>
      </w:r>
      <w:r>
        <w:rPr>
          <w:rFonts w:ascii="URWPalladioL-Ital" w:hAnsi="URWPalladioL-Ital" w:cs="URWPalladioL-Ital"/>
          <w:color w:val="000000"/>
        </w:rPr>
        <w:t xml:space="preserve">before </w:t>
      </w:r>
      <w:r>
        <w:rPr>
          <w:rFonts w:ascii="URWPalladioL-Roma" w:hAnsi="URWPalladioL-Roma" w:cs="URWPalladioL-Roma"/>
          <w:color w:val="000000"/>
        </w:rPr>
        <w:t>the exam date with an acceptable explanation, the weight can be</w:t>
      </w:r>
    </w:p>
    <w:p w14:paraId="096017DE" w14:textId="77777777"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moved to the final exam. Missing a midterm exam for other reasons or without approval</w:t>
      </w:r>
    </w:p>
    <w:p w14:paraId="46805B84" w14:textId="77777777"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results in zero score of that exam. You are responsible to provide necessary documentation</w:t>
      </w:r>
    </w:p>
    <w:p w14:paraId="4543B5D0" w14:textId="77777777"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to support your case.</w:t>
      </w:r>
    </w:p>
    <w:p w14:paraId="51A2C4C1" w14:textId="77777777" w:rsidR="00390A09" w:rsidRDefault="00390A09" w:rsidP="00554A9E">
      <w:pPr>
        <w:autoSpaceDE w:val="0"/>
        <w:autoSpaceDN w:val="0"/>
        <w:adjustRightInd w:val="0"/>
        <w:spacing w:after="0" w:line="240" w:lineRule="auto"/>
        <w:rPr>
          <w:rFonts w:ascii="URWPalladioL-Roma" w:hAnsi="URWPalladioL-Roma" w:cs="URWPalladioL-Roma"/>
          <w:color w:val="000000"/>
        </w:rPr>
      </w:pPr>
    </w:p>
    <w:p w14:paraId="6C62F1EF" w14:textId="77777777"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Bold" w:hAnsi="URWPalladioL-Bold" w:cs="URWPalladioL-Bold"/>
          <w:b/>
          <w:bCs/>
          <w:color w:val="000000"/>
        </w:rPr>
        <w:t xml:space="preserve">Final exam: </w:t>
      </w:r>
      <w:r>
        <w:rPr>
          <w:rFonts w:ascii="URWPalladioL-Roma" w:hAnsi="URWPalladioL-Roma" w:cs="URWPalladioL-Roma"/>
          <w:color w:val="000000"/>
        </w:rPr>
        <w:t>The final exam is cumulative. If you are unable to take the final exam at the</w:t>
      </w:r>
    </w:p>
    <w:p w14:paraId="2AE84527" w14:textId="77777777"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scheduled time, you need to get the “examination excuse” from the academic dean to avoid</w:t>
      </w:r>
    </w:p>
    <w:p w14:paraId="2BB1AF3A" w14:textId="77777777"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receiving an AB or F grade. A make-up exam can be scheduled with such excuse.</w:t>
      </w:r>
    </w:p>
    <w:p w14:paraId="5A9C178A" w14:textId="77777777"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 xml:space="preserve">All exams (two midterms and the final) are </w:t>
      </w:r>
      <w:r>
        <w:rPr>
          <w:rFonts w:ascii="URWPalladioL-Ital" w:hAnsi="URWPalladioL-Ital" w:cs="URWPalladioL-Ital"/>
          <w:color w:val="000000"/>
        </w:rPr>
        <w:t>closed-book and closed-notes</w:t>
      </w:r>
      <w:r>
        <w:rPr>
          <w:rFonts w:ascii="URWPalladioL-Roma" w:hAnsi="URWPalladioL-Roma" w:cs="URWPalladioL-Roma"/>
          <w:color w:val="000000"/>
        </w:rPr>
        <w:t>. Only a basic calculator</w:t>
      </w:r>
    </w:p>
    <w:p w14:paraId="313FF04F" w14:textId="77777777"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is allowed. Cellphones and other electronic devices must not be used during exams.</w:t>
      </w:r>
    </w:p>
    <w:p w14:paraId="7CF2E51B" w14:textId="77777777" w:rsidR="00390A09" w:rsidRDefault="00390A09" w:rsidP="00554A9E">
      <w:pPr>
        <w:autoSpaceDE w:val="0"/>
        <w:autoSpaceDN w:val="0"/>
        <w:adjustRightInd w:val="0"/>
        <w:spacing w:after="0" w:line="240" w:lineRule="auto"/>
        <w:rPr>
          <w:rFonts w:ascii="URWPalladioL-Roma" w:hAnsi="URWPalladioL-Roma" w:cs="URWPalladioL-Roma"/>
          <w:color w:val="000000"/>
        </w:rPr>
      </w:pPr>
    </w:p>
    <w:p w14:paraId="0D4C37EB" w14:textId="77777777"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Bold" w:hAnsi="URWPalladioL-Bold" w:cs="URWPalladioL-Bold"/>
          <w:b/>
          <w:bCs/>
          <w:color w:val="000000"/>
        </w:rPr>
        <w:t xml:space="preserve">Attendance: </w:t>
      </w:r>
      <w:r>
        <w:rPr>
          <w:rFonts w:ascii="URWPalladioL-Roma" w:hAnsi="URWPalladioL-Roma" w:cs="URWPalladioL-Roma"/>
          <w:color w:val="000000"/>
        </w:rPr>
        <w:t>Regular class attendance is expected by default. You are responsible for any</w:t>
      </w:r>
    </w:p>
    <w:p w14:paraId="4009F6A2" w14:textId="77777777"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announcements that you may have missed if you choose not to attend class or if you cannot</w:t>
      </w:r>
    </w:p>
    <w:p w14:paraId="59476A89" w14:textId="77777777"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attend class. You should get the missed notes/announcements from one of your peers.</w:t>
      </w:r>
    </w:p>
    <w:p w14:paraId="23CEE0C3" w14:textId="77777777" w:rsidR="00390A09" w:rsidRDefault="00390A09" w:rsidP="00554A9E">
      <w:pPr>
        <w:autoSpaceDE w:val="0"/>
        <w:autoSpaceDN w:val="0"/>
        <w:adjustRightInd w:val="0"/>
        <w:spacing w:after="0" w:line="240" w:lineRule="auto"/>
        <w:rPr>
          <w:rFonts w:ascii="URWPalladioL-Bold" w:hAnsi="URWPalladioL-Bold" w:cs="URWPalladioL-Bold"/>
          <w:b/>
          <w:bCs/>
          <w:color w:val="000000"/>
        </w:rPr>
      </w:pPr>
    </w:p>
    <w:p w14:paraId="52916E42" w14:textId="77777777"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Bold" w:hAnsi="URWPalladioL-Bold" w:cs="URWPalladioL-Bold"/>
          <w:b/>
          <w:bCs/>
          <w:color w:val="000000"/>
        </w:rPr>
        <w:t xml:space="preserve">Academic integrity. </w:t>
      </w:r>
      <w:r>
        <w:rPr>
          <w:rFonts w:ascii="URWPalladioL-Roma" w:hAnsi="URWPalladioL-Roma" w:cs="URWPalladioL-Roma"/>
          <w:color w:val="000000"/>
        </w:rPr>
        <w:t xml:space="preserve">All students are bound to the Honor Code </w:t>
      </w:r>
      <w:r>
        <w:rPr>
          <w:rFonts w:ascii="URWPalladioL-Roma" w:hAnsi="URWPalladioL-Roma" w:cs="URWPalladioL-Roma"/>
          <w:color w:val="4B9DD4"/>
        </w:rPr>
        <w:t>http://instrument.unc.edu</w:t>
      </w:r>
      <w:r>
        <w:rPr>
          <w:rFonts w:ascii="URWPalladioL-Roma" w:hAnsi="URWPalladioL-Roma" w:cs="URWPalladioL-Roma"/>
          <w:color w:val="000000"/>
        </w:rPr>
        <w:t>. Any</w:t>
      </w:r>
    </w:p>
    <w:p w14:paraId="303FB684" w14:textId="77777777"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violation will result in an F for the course, and other sanctions may apply.</w:t>
      </w:r>
    </w:p>
    <w:p w14:paraId="1749A5F2" w14:textId="77777777" w:rsidR="00554A9E" w:rsidRDefault="00554A9E" w:rsidP="00554A9E">
      <w:pPr>
        <w:autoSpaceDE w:val="0"/>
        <w:autoSpaceDN w:val="0"/>
        <w:adjustRightInd w:val="0"/>
        <w:spacing w:after="0" w:line="240" w:lineRule="auto"/>
        <w:rPr>
          <w:rFonts w:ascii="URWPalladioL-Roma" w:hAnsi="URWPalladioL-Roma" w:cs="URWPalladioL-Roma"/>
          <w:color w:val="000000"/>
          <w:sz w:val="16"/>
          <w:szCs w:val="16"/>
        </w:rPr>
      </w:pPr>
    </w:p>
    <w:p w14:paraId="7F6FED08" w14:textId="77777777"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Bold" w:hAnsi="URWPalladioL-Bold" w:cs="URWPalladioL-Bold"/>
          <w:b/>
          <w:bCs/>
          <w:color w:val="000000"/>
        </w:rPr>
        <w:t xml:space="preserve">Tentative course outline. </w:t>
      </w:r>
      <w:r>
        <w:rPr>
          <w:rFonts w:ascii="URWPalladioL-Roma" w:hAnsi="URWPalladioL-Roma" w:cs="URWPalladioL-Roma"/>
          <w:color w:val="000000"/>
        </w:rPr>
        <w:t xml:space="preserve">I intend to follow the outline </w:t>
      </w:r>
      <w:r w:rsidR="00390A09">
        <w:rPr>
          <w:rFonts w:ascii="URWPalladioL-Roma" w:hAnsi="URWPalladioL-Roma" w:cs="URWPalladioL-Roma"/>
          <w:color w:val="000000"/>
        </w:rPr>
        <w:t>closely,</w:t>
      </w:r>
      <w:r>
        <w:rPr>
          <w:rFonts w:ascii="URWPalladioL-Roma" w:hAnsi="URWPalladioL-Roma" w:cs="URWPalladioL-Roma"/>
          <w:color w:val="000000"/>
        </w:rPr>
        <w:t xml:space="preserve"> but deviation may become necessary.</w:t>
      </w:r>
    </w:p>
    <w:p w14:paraId="03E54DFC" w14:textId="77777777"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Changes will be announced in class, via email, or on Sakai as early as possible.</w:t>
      </w:r>
    </w:p>
    <w:p w14:paraId="0EED7C9D" w14:textId="77777777" w:rsidR="00390A09" w:rsidRDefault="00390A09" w:rsidP="00554A9E">
      <w:pPr>
        <w:autoSpaceDE w:val="0"/>
        <w:autoSpaceDN w:val="0"/>
        <w:adjustRightInd w:val="0"/>
        <w:spacing w:after="0" w:line="240" w:lineRule="auto"/>
        <w:rPr>
          <w:rFonts w:ascii="URWPalladioL-Roma" w:hAnsi="URWPalladioL-Roma" w:cs="URWPalladioL-Roma"/>
          <w:color w:val="000000"/>
        </w:rPr>
      </w:pPr>
    </w:p>
    <w:p w14:paraId="47D25220" w14:textId="77777777"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Week Date Topics</w:t>
      </w:r>
    </w:p>
    <w:p w14:paraId="6AA56D37" w14:textId="77777777"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Ch.1 + Appendix &amp; Ch.2: course overview and preparation</w:t>
      </w:r>
    </w:p>
    <w:p w14:paraId="675BBDC8" w14:textId="77777777"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Ch.3: What Is Money?</w:t>
      </w:r>
    </w:p>
    <w:p w14:paraId="458C8396" w14:textId="77777777"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Ch.4: The Meaning of Interest Rates</w:t>
      </w:r>
    </w:p>
    <w:p w14:paraId="3AA0FAD8" w14:textId="77777777"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Ch.5: The Behavior of Interest Rates</w:t>
      </w:r>
    </w:p>
    <w:p w14:paraId="4CC3F2C8" w14:textId="77777777"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Ch.6: The Risk and Term Structure of Interest Rates</w:t>
      </w:r>
    </w:p>
    <w:p w14:paraId="1445B2FB" w14:textId="77777777"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Ch.7: The Stock Market, the Theory of Rational Expectations, and the Efficient</w:t>
      </w:r>
      <w:r w:rsidR="00390A09">
        <w:rPr>
          <w:rFonts w:ascii="URWPalladioL-Roma" w:hAnsi="URWPalladioL-Roma" w:cs="URWPalladioL-Roma"/>
          <w:color w:val="000000"/>
        </w:rPr>
        <w:t xml:space="preserve"> </w:t>
      </w:r>
      <w:r>
        <w:rPr>
          <w:rFonts w:ascii="URWPalladioL-Roma" w:hAnsi="URWPalladioL-Roma" w:cs="URWPalladioL-Roma"/>
          <w:color w:val="000000"/>
        </w:rPr>
        <w:t>Market Hypothesis</w:t>
      </w:r>
    </w:p>
    <w:p w14:paraId="50F0163B" w14:textId="77777777"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Ch.17: The Foreign Exchange Market</w:t>
      </w:r>
    </w:p>
    <w:p w14:paraId="2591C77A" w14:textId="77777777" w:rsidR="00554A9E" w:rsidRDefault="00554A9E" w:rsidP="00554A9E">
      <w:pPr>
        <w:autoSpaceDE w:val="0"/>
        <w:autoSpaceDN w:val="0"/>
        <w:adjustRightInd w:val="0"/>
        <w:spacing w:after="0" w:line="240" w:lineRule="auto"/>
        <w:rPr>
          <w:rFonts w:ascii="URWPalladioL-Bold" w:hAnsi="URWPalladioL-Bold" w:cs="URWPalladioL-Bold"/>
          <w:b/>
          <w:bCs/>
          <w:color w:val="000000"/>
        </w:rPr>
      </w:pPr>
      <w:r>
        <w:rPr>
          <w:rFonts w:ascii="URWPalladioL-Bold" w:hAnsi="URWPalladioL-Bold" w:cs="URWPalladioL-Bold"/>
          <w:b/>
          <w:bCs/>
          <w:color w:val="000000"/>
        </w:rPr>
        <w:t>Midterm I</w:t>
      </w:r>
    </w:p>
    <w:p w14:paraId="649E5854" w14:textId="77777777"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Ch.8: An Economic Analysis of Financial Structure</w:t>
      </w:r>
    </w:p>
    <w:p w14:paraId="29AF7385" w14:textId="77777777"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Ch.9: Banking and the Management of Financial Institutions</w:t>
      </w:r>
    </w:p>
    <w:p w14:paraId="4AEF8976" w14:textId="77777777"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Ch.10: Economic Analysis of Financial Regulation</w:t>
      </w:r>
    </w:p>
    <w:p w14:paraId="62794D08" w14:textId="77777777"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Ch.11: Banking Industry: Structure and Competition</w:t>
      </w:r>
    </w:p>
    <w:p w14:paraId="628D0B97" w14:textId="77777777"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lastRenderedPageBreak/>
        <w:t>Ch.12: Financial Crises</w:t>
      </w:r>
    </w:p>
    <w:p w14:paraId="580277F8" w14:textId="77777777"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Ch.13: Central Banks and the Federal Reserve System</w:t>
      </w:r>
    </w:p>
    <w:p w14:paraId="71C1564F" w14:textId="77777777" w:rsidR="00554A9E" w:rsidRDefault="00554A9E" w:rsidP="00554A9E">
      <w:pPr>
        <w:autoSpaceDE w:val="0"/>
        <w:autoSpaceDN w:val="0"/>
        <w:adjustRightInd w:val="0"/>
        <w:spacing w:after="0" w:line="240" w:lineRule="auto"/>
        <w:rPr>
          <w:rFonts w:ascii="URWPalladioL-Bold" w:hAnsi="URWPalladioL-Bold" w:cs="URWPalladioL-Bold"/>
          <w:b/>
          <w:bCs/>
          <w:color w:val="000000"/>
        </w:rPr>
      </w:pPr>
      <w:r>
        <w:rPr>
          <w:rFonts w:ascii="URWPalladioL-Bold" w:hAnsi="URWPalladioL-Bold" w:cs="URWPalladioL-Bold"/>
          <w:b/>
          <w:bCs/>
          <w:color w:val="000000"/>
        </w:rPr>
        <w:t>Midterm II</w:t>
      </w:r>
    </w:p>
    <w:p w14:paraId="21190026" w14:textId="77777777"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Ch.15: Tools of Monetary Policy</w:t>
      </w:r>
    </w:p>
    <w:p w14:paraId="57277790" w14:textId="77777777"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Ch.18: The International Financial System</w:t>
      </w:r>
    </w:p>
    <w:p w14:paraId="2022AD46" w14:textId="77777777" w:rsidR="00036211" w:rsidRDefault="00036211"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Ch.19: Quantity Theory, Inflation and the Demand for Money</w:t>
      </w:r>
    </w:p>
    <w:p w14:paraId="6D5E27B9" w14:textId="77777777" w:rsidR="00036211" w:rsidRDefault="00036211"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Ch.20: The IS Curve</w:t>
      </w:r>
    </w:p>
    <w:p w14:paraId="5026E77B" w14:textId="77777777" w:rsidR="00036211" w:rsidRDefault="00036211"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Ch.21: Monetary Policy and Aggregate Demand Curves</w:t>
      </w:r>
    </w:p>
    <w:p w14:paraId="7F8B3C83" w14:textId="77777777"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Ch.22: Aggregate Demand and Supply Analysis</w:t>
      </w:r>
    </w:p>
    <w:p w14:paraId="1B9D5DD6" w14:textId="77777777"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Ch.23: Monetary Policy Theory</w:t>
      </w:r>
    </w:p>
    <w:p w14:paraId="7F25921C" w14:textId="77777777" w:rsidR="00554A9E" w:rsidRDefault="00554A9E" w:rsidP="00554A9E">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Ch.24: The Role of Expectations in Monetary Policy</w:t>
      </w:r>
    </w:p>
    <w:p w14:paraId="5F63454A" w14:textId="77777777" w:rsidR="003377B4" w:rsidRDefault="003377B4" w:rsidP="00554A9E">
      <w:pPr>
        <w:autoSpaceDE w:val="0"/>
        <w:autoSpaceDN w:val="0"/>
        <w:adjustRightInd w:val="0"/>
        <w:spacing w:after="0" w:line="240" w:lineRule="auto"/>
        <w:rPr>
          <w:rFonts w:ascii="URWPalladioL-Bold" w:hAnsi="URWPalladioL-Bold" w:cs="URWPalladioL-Bold"/>
          <w:b/>
          <w:bCs/>
          <w:color w:val="000000"/>
        </w:rPr>
      </w:pPr>
    </w:p>
    <w:p w14:paraId="7E66114E" w14:textId="77777777" w:rsidR="003377B4" w:rsidRDefault="00554A9E" w:rsidP="003377B4">
      <w:pPr>
        <w:autoSpaceDE w:val="0"/>
        <w:autoSpaceDN w:val="0"/>
        <w:adjustRightInd w:val="0"/>
        <w:spacing w:after="0" w:line="240" w:lineRule="auto"/>
        <w:rPr>
          <w:rFonts w:ascii="URWPalladioL-Bold" w:hAnsi="URWPalladioL-Bold" w:cs="URWPalladioL-Bold"/>
          <w:b/>
          <w:bCs/>
          <w:color w:val="000000"/>
        </w:rPr>
      </w:pPr>
      <w:r>
        <w:rPr>
          <w:rFonts w:ascii="URWPalladioL-Bold" w:hAnsi="URWPalladioL-Bold" w:cs="URWPalladioL-Bold"/>
          <w:b/>
          <w:bCs/>
          <w:color w:val="000000"/>
        </w:rPr>
        <w:t xml:space="preserve">Final </w:t>
      </w:r>
    </w:p>
    <w:p w14:paraId="2CB2CCFB" w14:textId="77777777" w:rsidR="003377B4" w:rsidRDefault="00E119B2" w:rsidP="003377B4">
      <w:pPr>
        <w:autoSpaceDE w:val="0"/>
        <w:autoSpaceDN w:val="0"/>
        <w:adjustRightInd w:val="0"/>
        <w:spacing w:after="0" w:line="240" w:lineRule="auto"/>
        <w:rPr>
          <w:rFonts w:ascii="URWPalladioL-Roma" w:hAnsi="URWPalladioL-Roma" w:cs="URWPalladioL-Roma"/>
          <w:color w:val="000000"/>
        </w:rPr>
      </w:pPr>
      <w:r>
        <w:rPr>
          <w:rFonts w:ascii="URWPalladioL-Roma" w:hAnsi="URWPalladioL-Roma" w:cs="URWPalladioL-Roma"/>
          <w:color w:val="000000"/>
        </w:rPr>
        <w:t>Check registrar’s webpage for dates</w:t>
      </w:r>
    </w:p>
    <w:p w14:paraId="626E8589" w14:textId="77777777" w:rsidR="006C1360" w:rsidRDefault="000C4D11" w:rsidP="003377B4">
      <w:pPr>
        <w:autoSpaceDE w:val="0"/>
        <w:autoSpaceDN w:val="0"/>
        <w:adjustRightInd w:val="0"/>
        <w:spacing w:after="0" w:line="240" w:lineRule="auto"/>
      </w:pPr>
    </w:p>
    <w:sectPr w:rsidR="006C1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URWPalladioL-Bold">
    <w:altName w:val="Calibri"/>
    <w:panose1 w:val="00000000000000000000"/>
    <w:charset w:val="00"/>
    <w:family w:val="auto"/>
    <w:notTrueType/>
    <w:pitch w:val="default"/>
    <w:sig w:usb0="00000003" w:usb1="00000000" w:usb2="00000000" w:usb3="00000000" w:csb0="00000001" w:csb1="00000000"/>
  </w:font>
  <w:font w:name="URWPalladioL-Roma">
    <w:altName w:val="Calibri"/>
    <w:panose1 w:val="00000000000000000000"/>
    <w:charset w:val="00"/>
    <w:family w:val="auto"/>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URWPalladioL-Ital">
    <w:altName w:val="Calibri"/>
    <w:panose1 w:val="00000000000000000000"/>
    <w:charset w:val="00"/>
    <w:family w:val="auto"/>
    <w:notTrueType/>
    <w:pitch w:val="default"/>
    <w:sig w:usb0="00000003" w:usb1="00000000" w:usb2="00000000" w:usb3="00000000" w:csb0="00000001" w:csb1="00000000"/>
  </w:font>
  <w:font w:name="cmr10">
    <w:altName w:val="Calibri"/>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4A9E"/>
    <w:rsid w:val="00036211"/>
    <w:rsid w:val="000C4D11"/>
    <w:rsid w:val="000C7E19"/>
    <w:rsid w:val="003377B4"/>
    <w:rsid w:val="00390A09"/>
    <w:rsid w:val="003F642C"/>
    <w:rsid w:val="00552907"/>
    <w:rsid w:val="00554A9E"/>
    <w:rsid w:val="006C6D3A"/>
    <w:rsid w:val="006E18CF"/>
    <w:rsid w:val="00722788"/>
    <w:rsid w:val="00742EA8"/>
    <w:rsid w:val="008E6C61"/>
    <w:rsid w:val="00CF1A39"/>
    <w:rsid w:val="00E119B2"/>
    <w:rsid w:val="00F370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8F645"/>
  <w15:docId w15:val="{E8A1F1DD-263C-42D1-9924-77EA26148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18CF"/>
    <w:rPr>
      <w:color w:val="0563C1" w:themeColor="hyperlink"/>
      <w:u w:val="single"/>
    </w:rPr>
  </w:style>
  <w:style w:type="character" w:customStyle="1" w:styleId="UnresolvedMention1">
    <w:name w:val="Unresolved Mention1"/>
    <w:basedOn w:val="DefaultParagraphFont"/>
    <w:uiPriority w:val="99"/>
    <w:semiHidden/>
    <w:unhideWhenUsed/>
    <w:rsid w:val="006E18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vsc@unc.edu" TargetMode="External"/><Relationship Id="rId5" Type="http://schemas.openxmlformats.org/officeDocument/2006/relationships/hyperlink" Target="mailto:reportandresponse@unc.edu" TargetMode="External"/><Relationship Id="rId4" Type="http://schemas.openxmlformats.org/officeDocument/2006/relationships/hyperlink" Target="mailto:Adrienne.allison@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926</Words>
  <Characters>5284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 Neville R</dc:creator>
  <cp:lastModifiedBy>Francis, Neville R</cp:lastModifiedBy>
  <cp:revision>2</cp:revision>
  <dcterms:created xsi:type="dcterms:W3CDTF">2021-08-11T15:19:00Z</dcterms:created>
  <dcterms:modified xsi:type="dcterms:W3CDTF">2021-08-11T15:19:00Z</dcterms:modified>
</cp:coreProperties>
</file>