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ADD7A" w14:textId="77777777" w:rsidR="00140EB9" w:rsidRDefault="00140EB9" w:rsidP="00140EB9">
      <w:pPr>
        <w:spacing w:line="480" w:lineRule="auto"/>
        <w:ind w:firstLine="720"/>
        <w:jc w:val="center"/>
        <w:rPr>
          <w:sz w:val="30"/>
          <w:szCs w:val="30"/>
        </w:rPr>
      </w:pPr>
    </w:p>
    <w:p w14:paraId="2561227F" w14:textId="77777777" w:rsidR="00140EB9" w:rsidRDefault="00140EB9" w:rsidP="00140EB9">
      <w:pPr>
        <w:spacing w:line="480" w:lineRule="auto"/>
        <w:rPr>
          <w:sz w:val="30"/>
          <w:szCs w:val="30"/>
        </w:rPr>
      </w:pPr>
    </w:p>
    <w:p w14:paraId="717427A1" w14:textId="77777777" w:rsidR="00E61FB7" w:rsidRDefault="00140EB9" w:rsidP="00140EB9">
      <w:pPr>
        <w:spacing w:line="480" w:lineRule="auto"/>
        <w:ind w:firstLine="720"/>
        <w:jc w:val="center"/>
        <w:rPr>
          <w:sz w:val="40"/>
          <w:szCs w:val="40"/>
        </w:rPr>
      </w:pPr>
      <w:r w:rsidRPr="001211A2">
        <w:rPr>
          <w:sz w:val="40"/>
          <w:szCs w:val="40"/>
        </w:rPr>
        <w:t xml:space="preserve">Is the Fama-French Three Factor Model </w:t>
      </w:r>
    </w:p>
    <w:p w14:paraId="52C06005" w14:textId="5BA559D5" w:rsidR="00140EB9" w:rsidRDefault="00140EB9" w:rsidP="00140EB9">
      <w:pPr>
        <w:spacing w:line="480" w:lineRule="auto"/>
        <w:ind w:firstLine="720"/>
        <w:jc w:val="center"/>
        <w:rPr>
          <w:sz w:val="40"/>
          <w:szCs w:val="40"/>
        </w:rPr>
      </w:pPr>
      <w:r w:rsidRPr="001211A2">
        <w:rPr>
          <w:sz w:val="40"/>
          <w:szCs w:val="40"/>
        </w:rPr>
        <w:t>Relevant for Asia?</w:t>
      </w:r>
    </w:p>
    <w:p w14:paraId="5AEB5CC6" w14:textId="77777777" w:rsidR="001211A2" w:rsidRPr="001211A2" w:rsidRDefault="001211A2" w:rsidP="00140EB9">
      <w:pPr>
        <w:spacing w:line="480" w:lineRule="auto"/>
        <w:ind w:firstLine="720"/>
        <w:jc w:val="center"/>
        <w:rPr>
          <w:sz w:val="40"/>
          <w:szCs w:val="40"/>
        </w:rPr>
      </w:pPr>
    </w:p>
    <w:p w14:paraId="404DA46B" w14:textId="71DA8A22" w:rsidR="00140EB9" w:rsidRPr="00140EB9" w:rsidRDefault="00140EB9" w:rsidP="00140EB9">
      <w:pPr>
        <w:spacing w:line="480" w:lineRule="auto"/>
        <w:ind w:firstLine="720"/>
        <w:jc w:val="center"/>
        <w:rPr>
          <w:sz w:val="26"/>
          <w:szCs w:val="26"/>
        </w:rPr>
      </w:pPr>
      <w:r w:rsidRPr="00140EB9">
        <w:rPr>
          <w:sz w:val="26"/>
          <w:szCs w:val="26"/>
        </w:rPr>
        <w:t xml:space="preserve">Yimeng Hua, </w:t>
      </w:r>
      <w:proofErr w:type="spellStart"/>
      <w:r w:rsidRPr="00140EB9">
        <w:rPr>
          <w:sz w:val="26"/>
          <w:szCs w:val="26"/>
        </w:rPr>
        <w:t>We</w:t>
      </w:r>
      <w:bookmarkStart w:id="0" w:name="_GoBack"/>
      <w:bookmarkEnd w:id="0"/>
      <w:r w:rsidRPr="00140EB9">
        <w:rPr>
          <w:sz w:val="26"/>
          <w:szCs w:val="26"/>
        </w:rPr>
        <w:t>ncheng</w:t>
      </w:r>
      <w:proofErr w:type="spellEnd"/>
      <w:r w:rsidRPr="00140EB9">
        <w:rPr>
          <w:sz w:val="26"/>
          <w:szCs w:val="26"/>
        </w:rPr>
        <w:t xml:space="preserve"> Zhang</w:t>
      </w:r>
    </w:p>
    <w:p w14:paraId="68C61B17" w14:textId="208FCA0E" w:rsidR="00140EB9" w:rsidRPr="00140EB9" w:rsidRDefault="00140EB9" w:rsidP="00140EB9">
      <w:pPr>
        <w:spacing w:line="480" w:lineRule="auto"/>
        <w:ind w:firstLine="720"/>
        <w:jc w:val="center"/>
        <w:rPr>
          <w:sz w:val="26"/>
          <w:szCs w:val="26"/>
        </w:rPr>
      </w:pPr>
      <w:r w:rsidRPr="00140EB9">
        <w:rPr>
          <w:sz w:val="26"/>
          <w:szCs w:val="26"/>
        </w:rPr>
        <w:t xml:space="preserve">Advisor: Dr. Michael Aguilar </w:t>
      </w:r>
    </w:p>
    <w:p w14:paraId="47474018" w14:textId="297BAE62" w:rsidR="00140EB9" w:rsidRDefault="00140EB9" w:rsidP="00140EB9">
      <w:pPr>
        <w:spacing w:line="480" w:lineRule="auto"/>
        <w:ind w:firstLine="720"/>
        <w:jc w:val="center"/>
        <w:rPr>
          <w:sz w:val="26"/>
          <w:szCs w:val="26"/>
        </w:rPr>
      </w:pPr>
      <w:r w:rsidRPr="00140EB9">
        <w:rPr>
          <w:sz w:val="26"/>
          <w:szCs w:val="26"/>
        </w:rPr>
        <w:t xml:space="preserve">September </w:t>
      </w:r>
      <w:r w:rsidR="007D7FD5">
        <w:rPr>
          <w:sz w:val="26"/>
          <w:szCs w:val="26"/>
        </w:rPr>
        <w:t>15</w:t>
      </w:r>
      <w:r w:rsidRPr="00140EB9">
        <w:rPr>
          <w:sz w:val="26"/>
          <w:szCs w:val="26"/>
        </w:rPr>
        <w:t>, 20</w:t>
      </w:r>
      <w:r w:rsidR="00717AD3">
        <w:rPr>
          <w:sz w:val="26"/>
          <w:szCs w:val="26"/>
        </w:rPr>
        <w:t>20</w:t>
      </w:r>
    </w:p>
    <w:p w14:paraId="14626242" w14:textId="632C7838" w:rsidR="001211A2" w:rsidRPr="001211A2" w:rsidRDefault="001211A2" w:rsidP="001211A2">
      <w:pPr>
        <w:jc w:val="center"/>
      </w:pPr>
      <w:r>
        <w:t>Herbert Brown Mayo Research Fellowship in Financial Economics, Summer 2020</w:t>
      </w:r>
    </w:p>
    <w:p w14:paraId="4E7BBC46" w14:textId="7BF297CD" w:rsidR="00140EB9" w:rsidRDefault="00140EB9" w:rsidP="00140EB9">
      <w:pPr>
        <w:spacing w:line="480" w:lineRule="auto"/>
        <w:ind w:firstLine="720"/>
        <w:jc w:val="center"/>
        <w:rPr>
          <w:sz w:val="26"/>
          <w:szCs w:val="26"/>
        </w:rPr>
      </w:pPr>
    </w:p>
    <w:p w14:paraId="45E13502" w14:textId="77777777" w:rsidR="00140EB9" w:rsidRPr="00140EB9" w:rsidRDefault="00140EB9" w:rsidP="00140EB9">
      <w:pPr>
        <w:spacing w:line="480" w:lineRule="auto"/>
        <w:ind w:firstLine="720"/>
        <w:jc w:val="center"/>
        <w:rPr>
          <w:sz w:val="26"/>
          <w:szCs w:val="26"/>
        </w:rPr>
      </w:pPr>
    </w:p>
    <w:p w14:paraId="4914FA64" w14:textId="77777777" w:rsidR="00140EB9" w:rsidRDefault="00140EB9" w:rsidP="00FC0CF3">
      <w:pPr>
        <w:spacing w:line="480" w:lineRule="auto"/>
        <w:ind w:firstLine="720"/>
        <w:jc w:val="center"/>
      </w:pPr>
    </w:p>
    <w:p w14:paraId="7BCFF657" w14:textId="1A7518D6" w:rsidR="00140EB9" w:rsidRDefault="00140EB9" w:rsidP="00FC0CF3">
      <w:pPr>
        <w:spacing w:line="480" w:lineRule="auto"/>
        <w:ind w:firstLine="720"/>
        <w:jc w:val="center"/>
      </w:pPr>
    </w:p>
    <w:p w14:paraId="19469426" w14:textId="43AE3771" w:rsidR="00140EB9" w:rsidRDefault="00140EB9" w:rsidP="00FC0CF3">
      <w:pPr>
        <w:spacing w:line="480" w:lineRule="auto"/>
        <w:ind w:firstLine="720"/>
        <w:jc w:val="center"/>
      </w:pPr>
    </w:p>
    <w:p w14:paraId="0D91C864" w14:textId="2CC14BBE" w:rsidR="00140EB9" w:rsidRDefault="00140EB9" w:rsidP="00FC0CF3">
      <w:pPr>
        <w:spacing w:line="480" w:lineRule="auto"/>
        <w:ind w:firstLine="720"/>
        <w:jc w:val="center"/>
      </w:pPr>
    </w:p>
    <w:p w14:paraId="0E838055" w14:textId="65DEFB38" w:rsidR="00140EB9" w:rsidRDefault="00140EB9" w:rsidP="00FC0CF3">
      <w:pPr>
        <w:spacing w:line="480" w:lineRule="auto"/>
        <w:ind w:firstLine="720"/>
        <w:jc w:val="center"/>
      </w:pPr>
    </w:p>
    <w:p w14:paraId="365871FB" w14:textId="7A196D77" w:rsidR="00140EB9" w:rsidRDefault="00140EB9" w:rsidP="00FC0CF3">
      <w:pPr>
        <w:spacing w:line="480" w:lineRule="auto"/>
        <w:ind w:firstLine="720"/>
        <w:jc w:val="center"/>
      </w:pPr>
    </w:p>
    <w:p w14:paraId="3C8972C7" w14:textId="00052293" w:rsidR="00140EB9" w:rsidRDefault="00140EB9" w:rsidP="00FC0CF3">
      <w:pPr>
        <w:spacing w:line="480" w:lineRule="auto"/>
        <w:ind w:firstLine="720"/>
        <w:jc w:val="center"/>
      </w:pPr>
    </w:p>
    <w:p w14:paraId="600C128E" w14:textId="4A30B16C" w:rsidR="00140EB9" w:rsidRDefault="00140EB9" w:rsidP="00FC0CF3">
      <w:pPr>
        <w:spacing w:line="480" w:lineRule="auto"/>
        <w:ind w:firstLine="720"/>
        <w:jc w:val="center"/>
      </w:pPr>
    </w:p>
    <w:p w14:paraId="491349C9" w14:textId="04027DCA" w:rsidR="00140EB9" w:rsidRDefault="00140EB9" w:rsidP="00FC0CF3">
      <w:pPr>
        <w:spacing w:line="480" w:lineRule="auto"/>
        <w:ind w:firstLine="720"/>
        <w:jc w:val="center"/>
      </w:pPr>
    </w:p>
    <w:p w14:paraId="3548D8D6" w14:textId="77777777" w:rsidR="001211A2" w:rsidRDefault="001211A2" w:rsidP="00140EB9">
      <w:pPr>
        <w:spacing w:line="480" w:lineRule="auto"/>
        <w:rPr>
          <w:b/>
          <w:sz w:val="40"/>
          <w:szCs w:val="40"/>
        </w:rPr>
      </w:pPr>
    </w:p>
    <w:p w14:paraId="64FCBF67" w14:textId="688AF0E8" w:rsidR="00A904FA" w:rsidRPr="00140EB9" w:rsidRDefault="00A904FA" w:rsidP="00140EB9">
      <w:pPr>
        <w:spacing w:line="480" w:lineRule="auto"/>
        <w:rPr>
          <w:b/>
          <w:sz w:val="40"/>
          <w:szCs w:val="40"/>
        </w:rPr>
      </w:pPr>
      <w:r w:rsidRPr="00140EB9">
        <w:rPr>
          <w:b/>
          <w:sz w:val="40"/>
          <w:szCs w:val="40"/>
        </w:rPr>
        <w:lastRenderedPageBreak/>
        <w:t>Introduction</w:t>
      </w:r>
    </w:p>
    <w:p w14:paraId="419F7413" w14:textId="201F46FC" w:rsidR="00506E8C" w:rsidRDefault="000502D7" w:rsidP="00FC0CF3">
      <w:pPr>
        <w:spacing w:line="480" w:lineRule="auto"/>
        <w:ind w:firstLine="720"/>
      </w:pPr>
      <w:r>
        <w:t xml:space="preserve">Markowitz </w:t>
      </w:r>
      <w:r w:rsidR="00B262CD">
        <w:t xml:space="preserve">proposed the </w:t>
      </w:r>
      <w:r w:rsidR="00726497">
        <w:t>M</w:t>
      </w:r>
      <w:r w:rsidR="00B262CD">
        <w:t xml:space="preserve">odern </w:t>
      </w:r>
      <w:r w:rsidR="00726497">
        <w:t>P</w:t>
      </w:r>
      <w:r w:rsidR="00B262CD">
        <w:t xml:space="preserve">ortfolio </w:t>
      </w:r>
      <w:r w:rsidR="00726497">
        <w:t>T</w:t>
      </w:r>
      <w:r w:rsidR="00B262CD">
        <w:t>heory</w:t>
      </w:r>
      <w:r w:rsidR="00726497">
        <w:t xml:space="preserve"> (MPT)</w:t>
      </w:r>
      <w:r w:rsidR="00B262CD">
        <w:t xml:space="preserve"> in 1952, </w:t>
      </w:r>
      <w:r w:rsidR="008B55E0">
        <w:t xml:space="preserve">and then </w:t>
      </w:r>
      <w:r w:rsidR="00492D0E">
        <w:t xml:space="preserve">a variety of models developed </w:t>
      </w:r>
      <w:r w:rsidR="00A5024D">
        <w:t xml:space="preserve">to </w:t>
      </w:r>
      <w:r w:rsidR="003545C2">
        <w:t>determine</w:t>
      </w:r>
      <w:r w:rsidR="00A5024D">
        <w:t xml:space="preserve"> portfolio returns with market returns. Among them, Capital Asset Pricing Model (CAPM), </w:t>
      </w:r>
      <w:r w:rsidR="003545C2">
        <w:t>which developed by Sharpe</w:t>
      </w:r>
      <w:r w:rsidR="00726497">
        <w:t xml:space="preserve"> </w:t>
      </w:r>
      <w:r w:rsidR="003545C2">
        <w:t>(1964)</w:t>
      </w:r>
      <w:r w:rsidR="00726497">
        <w:t>, Treynor (1965)</w:t>
      </w:r>
      <w:r w:rsidR="003545C2">
        <w:t xml:space="preserve"> and Lintner</w:t>
      </w:r>
      <w:r w:rsidR="00726497">
        <w:t xml:space="preserve"> </w:t>
      </w:r>
      <w:r w:rsidR="003545C2">
        <w:t>(1965),</w:t>
      </w:r>
      <w:r w:rsidR="00A5024D">
        <w:t xml:space="preserve"> is a popular</w:t>
      </w:r>
      <w:r w:rsidR="003545C2">
        <w:t xml:space="preserve"> one. CAPM uses only one variabl</w:t>
      </w:r>
      <w:r w:rsidR="00407A33">
        <w:t xml:space="preserve">e - </w:t>
      </w:r>
      <w:r w:rsidR="003545C2">
        <w:t>market factor</w:t>
      </w:r>
      <w:r w:rsidR="00407A33">
        <w:t xml:space="preserve"> - </w:t>
      </w:r>
      <w:r w:rsidR="003545C2">
        <w:t xml:space="preserve">to describe the </w:t>
      </w:r>
      <w:r w:rsidR="007226ED">
        <w:t>relationship between portfolio returns and market returns.</w:t>
      </w:r>
      <w:r w:rsidR="00726497">
        <w:t xml:space="preserve"> </w:t>
      </w:r>
      <w:r w:rsidR="008B55E0">
        <w:t>But</w:t>
      </w:r>
      <w:r w:rsidR="00D5589E">
        <w:t xml:space="preserve"> CAPM</w:t>
      </w:r>
      <w:r w:rsidR="00726497">
        <w:t xml:space="preserve"> has been criticized </w:t>
      </w:r>
      <w:r w:rsidR="00B43D61">
        <w:rPr>
          <w:rFonts w:hint="eastAsia"/>
        </w:rPr>
        <w:t>for</w:t>
      </w:r>
      <w:r w:rsidR="00D5589E">
        <w:t xml:space="preserve"> its limitation to explain the variations in expected portfolio returns by only the market factor.</w:t>
      </w:r>
      <w:r w:rsidR="00B43D61">
        <w:t xml:space="preserve"> </w:t>
      </w:r>
    </w:p>
    <w:p w14:paraId="793C9900" w14:textId="03C81F6A" w:rsidR="00A747CB" w:rsidRDefault="008B55E0" w:rsidP="00FC0CF3">
      <w:pPr>
        <w:spacing w:line="480" w:lineRule="auto"/>
        <w:ind w:firstLine="720"/>
      </w:pPr>
      <w:r>
        <w:t xml:space="preserve">In order to capture more cross-sectional variations in average stock returns, </w:t>
      </w:r>
      <w:proofErr w:type="spellStart"/>
      <w:r w:rsidR="004A0115">
        <w:t>Fama</w:t>
      </w:r>
      <w:proofErr w:type="spellEnd"/>
      <w:r w:rsidR="004A0115">
        <w:t xml:space="preserve"> and French (1993) </w:t>
      </w:r>
      <w:r w:rsidR="009F4AD8">
        <w:t>added two factors: firm size factor and book-to-market</w:t>
      </w:r>
      <w:r w:rsidR="00A1620B">
        <w:t>-</w:t>
      </w:r>
      <w:r w:rsidR="009F4AD8">
        <w:t>equity</w:t>
      </w:r>
      <w:r w:rsidR="00A1620B">
        <w:t xml:space="preserve"> (BE/ME)</w:t>
      </w:r>
      <w:r w:rsidR="009F4AD8">
        <w:t xml:space="preserve"> factor to develop the </w:t>
      </w:r>
      <w:r w:rsidR="00D513D0">
        <w:t xml:space="preserve">Fama-French three factor model. </w:t>
      </w:r>
      <w:r w:rsidR="00407A33">
        <w:t>The model is</w:t>
      </w:r>
      <w:r w:rsidR="00CF423A">
        <w:t xml:space="preserve"> for predicting the risk and returns of stocks or portfolios and now it relates the expected portfolio returns to three categorized risk. </w:t>
      </w:r>
    </w:p>
    <w:p w14:paraId="1007DE39" w14:textId="2818AB4E" w:rsidR="00506E8C" w:rsidRDefault="00013328" w:rsidP="00FC0CF3">
      <w:pPr>
        <w:spacing w:line="480" w:lineRule="auto"/>
        <w:ind w:firstLine="720"/>
      </w:pPr>
      <w:r>
        <w:t xml:space="preserve">The original Fama-French three factor model was </w:t>
      </w:r>
      <w:r w:rsidR="00A904FA">
        <w:t>established</w:t>
      </w:r>
      <w:r>
        <w:t xml:space="preserve"> in the U.S. stock market. Fama and French collected return data from </w:t>
      </w:r>
      <w:r w:rsidR="00DB1778">
        <w:t>New York Stock Exchange (</w:t>
      </w:r>
      <w:r>
        <w:t>NYSE</w:t>
      </w:r>
      <w:r w:rsidR="00DB1778">
        <w:t>)</w:t>
      </w:r>
      <w:r>
        <w:t xml:space="preserve">, </w:t>
      </w:r>
      <w:r w:rsidR="00DB1778">
        <w:t>American Stock Exchange (</w:t>
      </w:r>
      <w:r>
        <w:t>AMEX</w:t>
      </w:r>
      <w:r w:rsidR="00DB1778">
        <w:t>)</w:t>
      </w:r>
      <w:r>
        <w:t>, and NASDAQ</w:t>
      </w:r>
      <w:r w:rsidR="00D863A0">
        <w:t xml:space="preserve"> to create U.S. portfolios. </w:t>
      </w:r>
      <w:r w:rsidR="001A6356">
        <w:t xml:space="preserve">Later, </w:t>
      </w:r>
      <w:r w:rsidR="00C90405">
        <w:t>a number of empirical studies were conducted to test the validity of the model in other regions</w:t>
      </w:r>
      <w:r w:rsidR="0081006F">
        <w:t>, including North America, Europe</w:t>
      </w:r>
      <w:r w:rsidR="00DF00D9">
        <w:t xml:space="preserve">, Asia Pacific </w:t>
      </w:r>
      <w:r w:rsidR="0081006F">
        <w:t xml:space="preserve">and so on. </w:t>
      </w:r>
      <w:r w:rsidR="00407A33">
        <w:t>We would like to update the findings for Asia Pacific in the paper.</w:t>
      </w:r>
    </w:p>
    <w:p w14:paraId="0572B984" w14:textId="33DD8E98" w:rsidR="00FC0CF3" w:rsidRDefault="00C6435D" w:rsidP="00C6435D">
      <w:pPr>
        <w:spacing w:line="480" w:lineRule="auto"/>
        <w:ind w:firstLine="720"/>
      </w:pPr>
      <w:r w:rsidRPr="004E59E2">
        <w:t>Our paper focuses on how the Fama-French three factor model performs in Asia Pacific. We propose our question as is the Fama-French three factor model relevant for Asia? We select the following five areas: Hong Kong, Singapore, South Korea, India and China to comprise our Asian Pacific market. Different literature defined Asia emerging market in different ways. Chui and Wei</w:t>
      </w:r>
      <w:r w:rsidR="00407A33">
        <w:t xml:space="preserve"> (1998) </w:t>
      </w:r>
      <w:r w:rsidRPr="004E59E2">
        <w:t xml:space="preserve">chose Hong Kong, Korea, Malaysia, Taiwan, and Thailand as five Pacific-Basing emerging markets from 1977 to 1993.  For our research, we are going to use Hong Kong, </w:t>
      </w:r>
      <w:r w:rsidRPr="004E59E2">
        <w:lastRenderedPageBreak/>
        <w:t>South Korean, Singapore, India, and China Mainland to define the Asia emerging market from July 2005 to December 2012. Even though there are different standards to define the emerging market, this paper uses total market capitalization and total value of stocks traded as two criteria. Figure 1 and Figure 2 display the overall movement of different emerging markets from 2005 to 2012.</w:t>
      </w:r>
    </w:p>
    <w:p w14:paraId="705C356F" w14:textId="074EE63C" w:rsidR="00140EB9" w:rsidRDefault="00140EB9" w:rsidP="00140EB9">
      <w:pPr>
        <w:spacing w:line="480" w:lineRule="auto"/>
        <w:ind w:firstLine="720"/>
        <w:jc w:val="center"/>
      </w:pPr>
      <w:r>
        <w:rPr>
          <w:noProof/>
        </w:rPr>
        <w:drawing>
          <wp:inline distT="0" distB="0" distL="0" distR="0" wp14:anchorId="78E32E30" wp14:editId="225EFD03">
            <wp:extent cx="3899853" cy="2785730"/>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p&#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08274" cy="2791745"/>
                    </a:xfrm>
                    <a:prstGeom prst="rect">
                      <a:avLst/>
                    </a:prstGeom>
                  </pic:spPr>
                </pic:pic>
              </a:graphicData>
            </a:graphic>
          </wp:inline>
        </w:drawing>
      </w:r>
    </w:p>
    <w:p w14:paraId="32073D53" w14:textId="1802524D" w:rsidR="00140EB9" w:rsidRDefault="00140EB9" w:rsidP="00140EB9">
      <w:pPr>
        <w:jc w:val="center"/>
        <w:rPr>
          <w:b/>
          <w:bCs/>
        </w:rPr>
      </w:pPr>
      <w:bookmarkStart w:id="1" w:name="OLE_LINK25"/>
      <w:bookmarkStart w:id="2" w:name="OLE_LINK26"/>
      <w:r w:rsidRPr="004E59E2">
        <w:rPr>
          <w:b/>
          <w:bCs/>
        </w:rPr>
        <w:t>Figure 1: Total Market Capitalization (US$billions)</w:t>
      </w:r>
      <w:bookmarkEnd w:id="1"/>
      <w:bookmarkEnd w:id="2"/>
    </w:p>
    <w:p w14:paraId="2C1C0AE6" w14:textId="77777777" w:rsidR="00140EB9" w:rsidRPr="00140EB9" w:rsidRDefault="00140EB9" w:rsidP="00140EB9">
      <w:pPr>
        <w:jc w:val="center"/>
        <w:rPr>
          <w:b/>
          <w:bCs/>
        </w:rPr>
      </w:pPr>
    </w:p>
    <w:p w14:paraId="55C83944" w14:textId="34B41157" w:rsidR="00140EB9" w:rsidRDefault="00140EB9" w:rsidP="00140EB9">
      <w:pPr>
        <w:spacing w:line="480" w:lineRule="auto"/>
        <w:ind w:firstLine="720"/>
        <w:jc w:val="center"/>
      </w:pPr>
      <w:r>
        <w:rPr>
          <w:noProof/>
        </w:rPr>
        <w:drawing>
          <wp:inline distT="0" distB="0" distL="0" distR="0" wp14:anchorId="32B6BF0B" wp14:editId="007E4887">
            <wp:extent cx="3929624" cy="2806995"/>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39678" cy="2814177"/>
                    </a:xfrm>
                    <a:prstGeom prst="rect">
                      <a:avLst/>
                    </a:prstGeom>
                  </pic:spPr>
                </pic:pic>
              </a:graphicData>
            </a:graphic>
          </wp:inline>
        </w:drawing>
      </w:r>
    </w:p>
    <w:p w14:paraId="28934468" w14:textId="77777777" w:rsidR="00140EB9" w:rsidRPr="004E59E2" w:rsidRDefault="00140EB9" w:rsidP="00140EB9">
      <w:pPr>
        <w:jc w:val="center"/>
        <w:rPr>
          <w:b/>
          <w:bCs/>
        </w:rPr>
      </w:pPr>
      <w:bookmarkStart w:id="3" w:name="OLE_LINK27"/>
      <w:bookmarkStart w:id="4" w:name="OLE_LINK28"/>
      <w:r w:rsidRPr="004E59E2">
        <w:rPr>
          <w:b/>
          <w:bCs/>
        </w:rPr>
        <w:t>Figure 2: Total Value of Stocks Traded (US$billions)</w:t>
      </w:r>
      <w:bookmarkEnd w:id="3"/>
      <w:bookmarkEnd w:id="4"/>
    </w:p>
    <w:p w14:paraId="1193A5AE" w14:textId="77777777" w:rsidR="00140EB9" w:rsidRPr="00C6435D" w:rsidRDefault="00140EB9" w:rsidP="00C6435D">
      <w:pPr>
        <w:spacing w:line="480" w:lineRule="auto"/>
        <w:ind w:firstLine="720"/>
      </w:pPr>
    </w:p>
    <w:p w14:paraId="55F6734E" w14:textId="5D65EB67" w:rsidR="00E61FB7" w:rsidRDefault="00407A33" w:rsidP="00E61FB7">
      <w:pPr>
        <w:spacing w:line="480" w:lineRule="auto"/>
        <w:ind w:firstLine="720"/>
        <w:rPr>
          <w:b/>
          <w:sz w:val="40"/>
          <w:szCs w:val="40"/>
        </w:rPr>
      </w:pPr>
      <w:r>
        <w:t xml:space="preserve">In order to check the validity of </w:t>
      </w:r>
      <w:proofErr w:type="spellStart"/>
      <w:r>
        <w:t>Fama</w:t>
      </w:r>
      <w:proofErr w:type="spellEnd"/>
      <w:r>
        <w:t>-French three factor model</w:t>
      </w:r>
      <w:r w:rsidR="00BE1749">
        <w:t xml:space="preserve">, we would like to analyze in three steps: </w:t>
      </w:r>
      <w:r w:rsidR="00E61FB7">
        <w:t>1</w:t>
      </w:r>
      <w:r w:rsidR="00BE1749">
        <w:t>)</w:t>
      </w:r>
      <w:r w:rsidR="00E61FB7">
        <w:t xml:space="preserve"> </w:t>
      </w:r>
      <w:r w:rsidR="00BE1749">
        <w:t>Check the returns</w:t>
      </w:r>
      <w:r w:rsidR="00E61FB7">
        <w:t xml:space="preserve"> 2</w:t>
      </w:r>
      <w:r w:rsidR="00BE1749">
        <w:t>)</w:t>
      </w:r>
      <w:r w:rsidR="00E61FB7">
        <w:t xml:space="preserve"> </w:t>
      </w:r>
      <w:r w:rsidR="00BE1749">
        <w:t>Check the factors</w:t>
      </w:r>
      <w:r w:rsidR="00E61FB7">
        <w:t xml:space="preserve"> 3</w:t>
      </w:r>
      <w:r w:rsidR="00BE1749">
        <w:t>)</w:t>
      </w:r>
      <w:r w:rsidR="00E61FB7">
        <w:t xml:space="preserve"> </w:t>
      </w:r>
      <w:r w:rsidR="00BE1749">
        <w:t>Check the coefficient betas.</w:t>
      </w:r>
      <w:r w:rsidR="00E61FB7">
        <w:t xml:space="preserve"> Our investigation divides into three phases </w:t>
      </w:r>
      <w:r w:rsidR="00344FF9">
        <w:t xml:space="preserve">by the above three key elements of the model </w:t>
      </w:r>
      <w:r w:rsidR="00E61FB7">
        <w:t xml:space="preserve">and therefore to compare universe returns, factors and betas among different countries </w:t>
      </w:r>
      <w:r w:rsidR="00E61FB7" w:rsidRPr="00BD565F">
        <w:rPr>
          <w:rFonts w:hint="eastAsia"/>
        </w:rPr>
        <w:t>a</w:t>
      </w:r>
      <w:r w:rsidR="00E61FB7" w:rsidRPr="00BD565F">
        <w:t xml:space="preserve">nd </w:t>
      </w:r>
      <w:r w:rsidR="00E61FB7">
        <w:t xml:space="preserve">to </w:t>
      </w:r>
      <w:r w:rsidR="00E61FB7" w:rsidRPr="00BD565F">
        <w:t>check the validity of the three</w:t>
      </w:r>
      <w:r w:rsidR="00344FF9">
        <w:t>-</w:t>
      </w:r>
      <w:r w:rsidR="00E61FB7" w:rsidRPr="00BD565F">
        <w:t>factor model in Asian market.</w:t>
      </w:r>
    </w:p>
    <w:p w14:paraId="4C2AAFD1" w14:textId="77777777" w:rsidR="00E61FB7" w:rsidRDefault="00E61FB7" w:rsidP="00E61FB7">
      <w:pPr>
        <w:spacing w:line="480" w:lineRule="auto"/>
        <w:ind w:firstLine="720"/>
        <w:rPr>
          <w:b/>
          <w:sz w:val="40"/>
          <w:szCs w:val="40"/>
        </w:rPr>
      </w:pPr>
    </w:p>
    <w:p w14:paraId="3C33DD37" w14:textId="679DB569" w:rsidR="00631C3F" w:rsidRDefault="00A904FA" w:rsidP="00D936A0">
      <w:pPr>
        <w:spacing w:line="480" w:lineRule="auto"/>
        <w:rPr>
          <w:b/>
          <w:sz w:val="40"/>
          <w:szCs w:val="40"/>
        </w:rPr>
      </w:pPr>
      <w:r w:rsidRPr="00D936A0">
        <w:rPr>
          <w:b/>
          <w:sz w:val="40"/>
          <w:szCs w:val="40"/>
        </w:rPr>
        <w:t>Literature</w:t>
      </w:r>
      <w:r w:rsidR="00631C3F">
        <w:rPr>
          <w:b/>
          <w:sz w:val="40"/>
          <w:szCs w:val="40"/>
        </w:rPr>
        <w:t xml:space="preserve"> Review </w:t>
      </w:r>
    </w:p>
    <w:p w14:paraId="5F42533B" w14:textId="77777777" w:rsidR="00344FF9" w:rsidRDefault="00344FF9" w:rsidP="00344FF9">
      <w:pPr>
        <w:spacing w:line="480" w:lineRule="auto"/>
        <w:ind w:firstLine="720"/>
      </w:pPr>
      <w:r>
        <w:t>After Markowitz proposed the Modern Portfolio Theory (MPT) in 1952, a variety of models have been developed to determine portfolio returns with market returns. Among them, Capital Asset Pricing Model (CAPM), which developed by Sharpe (1964), Treynor (1965) and Lintner (1965), is a popular one. CAPM uses only one variable</w:t>
      </w:r>
      <w:bookmarkStart w:id="5" w:name="OLE_LINK1"/>
      <w:bookmarkStart w:id="6" w:name="OLE_LINK2"/>
      <w:r>
        <w:t>—</w:t>
      </w:r>
      <w:bookmarkEnd w:id="5"/>
      <w:bookmarkEnd w:id="6"/>
      <w:r>
        <w:t xml:space="preserve">market factor, the return expected from the market above the risk-free rate– to describe the relationship between portfolio returns and market returns. The coefficient of the market risk premium, which is a key variable in CAPM, is called beta. It is calculated by dividing the product of the covariance of the security’s returns and the market’s returns by the variance of the market’s returns to measure the portfolio’s volatility to market risk. However, CAPM has been criticized </w:t>
      </w:r>
      <w:r>
        <w:rPr>
          <w:rFonts w:hint="eastAsia"/>
        </w:rPr>
        <w:t>for</w:t>
      </w:r>
      <w:r>
        <w:t xml:space="preserve"> its limitation to explain the variations in expected portfolio returns by only the market factor. </w:t>
      </w:r>
    </w:p>
    <w:p w14:paraId="12850CF9" w14:textId="77777777" w:rsidR="00344FF9" w:rsidRDefault="00344FF9" w:rsidP="00344FF9">
      <w:pPr>
        <w:spacing w:line="480" w:lineRule="auto"/>
        <w:ind w:firstLine="720"/>
      </w:pPr>
      <w:proofErr w:type="spellStart"/>
      <w:r>
        <w:t>Fama</w:t>
      </w:r>
      <w:proofErr w:type="spellEnd"/>
      <w:r>
        <w:t xml:space="preserve"> and French (1992) found out that on average, 70% of the portfolio returns can be explained by its beta and the other 30% is explained by other variables not related to beta. They studied the combined effect of beta, size, leverage, book-to-market equity, and earnings-price ratios and realized two variables size and book-to-market equity were significant to capture the </w:t>
      </w:r>
      <w:r>
        <w:lastRenderedPageBreak/>
        <w:t xml:space="preserve">cross-sectional variations in average stock returns. </w:t>
      </w:r>
      <w:proofErr w:type="spellStart"/>
      <w:r>
        <w:t>Fama</w:t>
      </w:r>
      <w:proofErr w:type="spellEnd"/>
      <w:r>
        <w:t xml:space="preserve"> and French (1993) added two other factors: firm size factor and book-to-market-equity (BE/ME) factor to develop the </w:t>
      </w:r>
      <w:proofErr w:type="spellStart"/>
      <w:r>
        <w:t>Fama</w:t>
      </w:r>
      <w:proofErr w:type="spellEnd"/>
      <w:r>
        <w:t>-French three factor model. The model helps to improve the explanatory power of CAPM by two additional value factors. It is for predicting the risk and returns of stocks or portfolios and now it relates the expected portfolio returns to three categorized risk. In particular, they found a negative relationship between returns and size and a positive relationship between returns and book-to-market-</w:t>
      </w:r>
      <w:r>
        <w:rPr>
          <w:rFonts w:hint="eastAsia"/>
        </w:rPr>
        <w:t>equi</w:t>
      </w:r>
      <w:r>
        <w:t xml:space="preserve">ty value. In 1995, </w:t>
      </w:r>
      <w:proofErr w:type="spellStart"/>
      <w:r>
        <w:t>Fama</w:t>
      </w:r>
      <w:proofErr w:type="spellEnd"/>
      <w:r>
        <w:t xml:space="preserve"> and French further studied how size and book-to-market-equity describes the earning behavior. They found that the high ratio of book equity to market equity (BE/ME) signals poor earnings; comparatively, low BE/ME shows strong earnings. </w:t>
      </w:r>
      <w:bookmarkStart w:id="7" w:name="OLE_LINK7"/>
      <w:bookmarkStart w:id="8" w:name="OLE_LINK8"/>
    </w:p>
    <w:p w14:paraId="44DAB125" w14:textId="02F14F0D" w:rsidR="00344FF9" w:rsidRDefault="00344FF9" w:rsidP="00344FF9">
      <w:pPr>
        <w:spacing w:line="480" w:lineRule="auto"/>
        <w:ind w:firstLine="720"/>
      </w:pPr>
      <w:r>
        <w:t xml:space="preserve">The </w:t>
      </w:r>
      <w:proofErr w:type="spellStart"/>
      <w:r>
        <w:t>Fama</w:t>
      </w:r>
      <w:proofErr w:type="spellEnd"/>
      <w:r>
        <w:t>-French three factor model was originally established in the U.S. stock marke</w:t>
      </w:r>
      <w:bookmarkEnd w:id="7"/>
      <w:bookmarkEnd w:id="8"/>
      <w:r>
        <w:t xml:space="preserve">t. Later, a number of empirical studies were conducted to test the validity of the model in other regions, including North America, Europe, Asia Pacific and so on. In 1998, Chui and Wei investigated five Pacific-Basin emerging markets to see </w:t>
      </w:r>
      <w:r w:rsidRPr="00535187">
        <w:t>the book-to-market equity can explain the cross-sectional variation of expected stock returns</w:t>
      </w:r>
      <w:r>
        <w:t xml:space="preserve"> as well as the size effect is significant. Also, they found that </w:t>
      </w:r>
      <w:r w:rsidRPr="00535187">
        <w:t xml:space="preserve">the degree of correlation between average stock returns and the BE/ME ratio within a country is closely related to the average BE/ME </w:t>
      </w:r>
      <w:r>
        <w:t xml:space="preserve">ratio </w:t>
      </w:r>
      <w:r w:rsidRPr="00535187">
        <w:t>of that country</w:t>
      </w:r>
      <w:r>
        <w:t xml:space="preserve">.  In 2015, </w:t>
      </w:r>
      <w:proofErr w:type="spellStart"/>
      <w:r>
        <w:t>Fama</w:t>
      </w:r>
      <w:proofErr w:type="spellEnd"/>
      <w:r>
        <w:t xml:space="preserve"> and French made an international test of a five-factor asset pricing model, which covers the areas including 1) North America, 2) Japan, 3) Asia Pacific and 4) Europe. The five-factor model adds profitability and investment factors to the three-factor model. The test result shows that the average stock returns are positively related to BE/ME and profitability while negatively related to investment. </w:t>
      </w:r>
    </w:p>
    <w:p w14:paraId="0ABEA9D7" w14:textId="4F8641BF" w:rsidR="00344FF9" w:rsidRDefault="00344FF9" w:rsidP="00344FF9">
      <w:pPr>
        <w:spacing w:line="480" w:lineRule="auto"/>
      </w:pPr>
    </w:p>
    <w:p w14:paraId="6C950F68" w14:textId="2D7CEC83" w:rsidR="00344FF9" w:rsidRPr="00344FF9" w:rsidRDefault="00344FF9" w:rsidP="00344FF9">
      <w:pPr>
        <w:spacing w:line="480" w:lineRule="auto"/>
        <w:ind w:firstLine="720"/>
      </w:pPr>
      <w:r>
        <w:rPr>
          <w:b/>
          <w:sz w:val="40"/>
          <w:szCs w:val="40"/>
        </w:rPr>
        <w:lastRenderedPageBreak/>
        <w:t>Methodology</w:t>
      </w:r>
    </w:p>
    <w:p w14:paraId="51659D35" w14:textId="5B85D15C" w:rsidR="00A01618" w:rsidRDefault="00B11C26" w:rsidP="00FC0CF3">
      <w:pPr>
        <w:spacing w:line="480" w:lineRule="auto"/>
        <w:ind w:firstLine="720"/>
      </w:pPr>
      <w:r w:rsidRPr="00B11C26">
        <w:t xml:space="preserve">The </w:t>
      </w:r>
      <w:r w:rsidR="00D52B0C">
        <w:t>original CAPM is represented as:</w:t>
      </w:r>
    </w:p>
    <w:p w14:paraId="5F83AF9D" w14:textId="115243AF" w:rsidR="00D52B0C" w:rsidRPr="00C6435D" w:rsidRDefault="00D52B0C" w:rsidP="00FC0CF3">
      <w:pPr>
        <w:spacing w:line="480" w:lineRule="auto"/>
        <w:ind w:firstLine="720"/>
      </w:pPr>
      <w:bookmarkStart w:id="9" w:name="OLE_LINK9"/>
      <w:bookmarkStart w:id="10" w:name="OLE_LINK10"/>
      <w:r w:rsidRPr="00C6435D">
        <w:t xml:space="preserve">E (Ri ) </w:t>
      </w:r>
      <w:bookmarkEnd w:id="9"/>
      <w:bookmarkEnd w:id="10"/>
      <w:r w:rsidRPr="00C6435D">
        <w:t>= Rf + βi (E(Rm) - Rf ))</w:t>
      </w:r>
    </w:p>
    <w:p w14:paraId="37BD98F4" w14:textId="6E27D0C9" w:rsidR="00D52B0C" w:rsidRDefault="00D52B0C" w:rsidP="00FC0CF3">
      <w:pPr>
        <w:spacing w:line="480" w:lineRule="auto"/>
        <w:ind w:firstLine="720"/>
      </w:pPr>
      <w:r>
        <w:t>Here Rf is the risk</w:t>
      </w:r>
      <w:r w:rsidR="00007F46">
        <w:t>-</w:t>
      </w:r>
      <w:r>
        <w:t xml:space="preserve">free rate and </w:t>
      </w:r>
      <w:r w:rsidR="00007F46" w:rsidRPr="00C6435D">
        <w:t xml:space="preserve">βi is the beta of the investment. </w:t>
      </w:r>
      <w:bookmarkStart w:id="11" w:name="OLE_LINK11"/>
      <w:bookmarkStart w:id="12" w:name="OLE_LINK12"/>
      <w:r w:rsidR="00007F46" w:rsidRPr="00C6435D">
        <w:t>E(Rm)</w:t>
      </w:r>
      <w:r w:rsidR="00007F46">
        <w:t>-Rf</w:t>
      </w:r>
      <w:r w:rsidR="00007F46" w:rsidRPr="00C6435D">
        <w:t xml:space="preserve"> </w:t>
      </w:r>
      <w:bookmarkEnd w:id="11"/>
      <w:bookmarkEnd w:id="12"/>
      <w:r w:rsidR="00007F46" w:rsidRPr="00C6435D">
        <w:t xml:space="preserve">is the expected excess return of the market </w:t>
      </w:r>
      <w:r w:rsidR="00007F46" w:rsidRPr="00007F46">
        <w:t>po</w:t>
      </w:r>
      <w:r w:rsidR="00007F46">
        <w:t xml:space="preserve">rtfolio beyond the risk-free rate, usually known as market risk premium. </w:t>
      </w:r>
    </w:p>
    <w:p w14:paraId="088192C1" w14:textId="2CEA803F" w:rsidR="00007F46" w:rsidRDefault="00123E2F" w:rsidP="00FC0CF3">
      <w:pPr>
        <w:spacing w:line="480" w:lineRule="auto"/>
        <w:ind w:firstLine="720"/>
      </w:pPr>
      <w:r>
        <w:t xml:space="preserve">To capture the anomalies </w:t>
      </w:r>
      <w:r w:rsidR="001873DE">
        <w:t>of CAPM, t</w:t>
      </w:r>
      <w:r w:rsidR="00007F46">
        <w:t xml:space="preserve">he Fama-French three factor model adds two </w:t>
      </w:r>
      <w:r w:rsidR="00DA55B3">
        <w:t xml:space="preserve">risk </w:t>
      </w:r>
      <w:r w:rsidR="00007F46">
        <w:t>factors: size risk and value risk on the original model</w:t>
      </w:r>
      <w:r w:rsidR="001873DE">
        <w:t xml:space="preserve">, representing the market capitalization (“size”) and BE/ME ratio (“value”) returns. Now, the excess portfolio return relates to three factors: 1) </w:t>
      </w:r>
      <w:r w:rsidR="001873DE" w:rsidRPr="00007F46">
        <w:rPr>
          <w:rFonts w:asciiTheme="minorHAnsi" w:eastAsiaTheme="minorEastAsia" w:hAnsiTheme="minorHAnsi" w:cstheme="minorBidi"/>
        </w:rPr>
        <w:t>E(Rm)</w:t>
      </w:r>
      <w:r w:rsidR="001873DE">
        <w:t>-Rf market risk prem</w:t>
      </w:r>
      <w:r w:rsidR="00E45A64">
        <w:t>ium factor; 2) “Small Minus Big” market capitalization risk factor; and 3) “High Minus Low” value premium risk factor. The Fama-French three factor model is shown as:</w:t>
      </w:r>
    </w:p>
    <w:p w14:paraId="7F1D62A1" w14:textId="1DD1B67B" w:rsidR="003331E8" w:rsidRDefault="00E45A64" w:rsidP="00FC0CF3">
      <w:pPr>
        <w:spacing w:line="480" w:lineRule="auto"/>
        <w:ind w:firstLine="720"/>
      </w:pPr>
      <w:r>
        <w:t>E (Ri ) = Rf + βi (E(Rm) - Rf ) + si SMB + hi HML)</w:t>
      </w:r>
    </w:p>
    <w:p w14:paraId="36A85D6A" w14:textId="52A2B520" w:rsidR="00500BDA" w:rsidRDefault="003331E8" w:rsidP="00500BDA">
      <w:pPr>
        <w:spacing w:line="480" w:lineRule="auto"/>
        <w:ind w:firstLine="720"/>
      </w:pPr>
      <w:r>
        <w:t>Here SMB, small minus big, is the difference between the excess return on a portfolio of small stocks and that on a portfolio of big stocks. The additional return is marked as the “size premium”. HML, high minus low, is the difference between the excess return on a portfolio of high-book-to-market stocks and that on</w:t>
      </w:r>
      <w:r w:rsidR="00FC0CF3">
        <w:t xml:space="preserve"> a</w:t>
      </w:r>
      <w:r w:rsidR="00A418F4">
        <w:t xml:space="preserve"> </w:t>
      </w:r>
      <w:r w:rsidR="00FC0CF3">
        <w:t>portfolio of low-book-to-market</w:t>
      </w:r>
      <w:r w:rsidR="00A418F4">
        <w:t xml:space="preserve"> stocks. Companies with high book-to-market values are known as value stocks and companies with low book-to-market values are signaled as growth stocks. HML which accounts for the spread in returns between value stocks and growth stocks is known as the “value premium” to suggest investors that value stocks usually outperform growth stocks. </w:t>
      </w:r>
      <w:r w:rsidR="00500BDA">
        <w:t>The Fama-French three factor model allows investors to weight their portfolios so that each of the risk factor will have larger or lesser exposure to achieve different levels of expected returns.</w:t>
      </w:r>
    </w:p>
    <w:p w14:paraId="52ECAE49" w14:textId="77777777" w:rsidR="001449D6" w:rsidRDefault="00500BDA" w:rsidP="001449D6">
      <w:pPr>
        <w:spacing w:line="480" w:lineRule="auto"/>
        <w:ind w:firstLine="720"/>
      </w:pPr>
      <w:r>
        <w:lastRenderedPageBreak/>
        <w:t xml:space="preserve">Fama and French constructed six size and value sorted portfolios (Small Value, Small Neutral, Small Growth, Big Value, Big Neutral, Big Growth) </w:t>
      </w:r>
      <w:r w:rsidR="002669C6">
        <w:t xml:space="preserve">and applied excess market returns proxy to mimic the stock return behavior. </w:t>
      </w:r>
      <w:r w:rsidR="001449D6">
        <w:t xml:space="preserve">SMB and HML factors are constructed using the six value-weight portfolios formed on size and book-to-market. SMB is </w:t>
      </w:r>
      <w:r w:rsidR="001449D6" w:rsidRPr="001449D6">
        <w:t>the average return on the three small portfolios minus the average return on the three big portfolios</w:t>
      </w:r>
      <w:r w:rsidR="001449D6">
        <w:t>, which is calculated as:</w:t>
      </w:r>
    </w:p>
    <w:p w14:paraId="50B5BB96" w14:textId="480A6C61" w:rsidR="001449D6" w:rsidRPr="001449D6" w:rsidRDefault="001449D6" w:rsidP="001449D6">
      <w:pPr>
        <w:spacing w:line="480" w:lineRule="auto"/>
        <w:ind w:firstLine="720"/>
      </w:pPr>
      <w:r w:rsidRPr="001449D6">
        <w:t>SMB = 1/3 (Small Value + Small Neutral + Small Growth) - 1/3 (Big Value + Big Neutral + Big Growth).</w:t>
      </w:r>
    </w:p>
    <w:p w14:paraId="350CF04C" w14:textId="77777777" w:rsidR="001449D6" w:rsidRDefault="001449D6" w:rsidP="001449D6">
      <w:pPr>
        <w:spacing w:line="480" w:lineRule="auto"/>
      </w:pPr>
      <w:r>
        <w:t xml:space="preserve">HML </w:t>
      </w:r>
      <w:r w:rsidRPr="001449D6">
        <w:t>is the average return on the two value portfolios minus the average return on the two growth portfolios</w:t>
      </w:r>
      <w:r>
        <w:t>, which is calculated as:</w:t>
      </w:r>
    </w:p>
    <w:p w14:paraId="13EC8A3A" w14:textId="03ECF8AE" w:rsidR="001449D6" w:rsidRPr="001449D6" w:rsidRDefault="001449D6" w:rsidP="001449D6">
      <w:pPr>
        <w:spacing w:line="480" w:lineRule="auto"/>
        <w:ind w:firstLine="720"/>
      </w:pPr>
      <w:r w:rsidRPr="001449D6">
        <w:t>HML = 1/2 (Small Value + Big Value) - 1/2 (Small Growth + Big Growth)</w:t>
      </w:r>
    </w:p>
    <w:p w14:paraId="470B5D79" w14:textId="3959FCE5" w:rsidR="00500BDA" w:rsidRDefault="002669C6" w:rsidP="00E6209A">
      <w:pPr>
        <w:spacing w:line="480" w:lineRule="auto"/>
      </w:pPr>
      <w:r>
        <w:t xml:space="preserve">In our paper, we cited Fama-French factors and portfolios in five Asian Pacific markets from </w:t>
      </w:r>
      <w:bookmarkStart w:id="13" w:name="OLE_LINK75"/>
      <w:bookmarkStart w:id="14" w:name="OLE_LINK76"/>
      <w:r w:rsidRPr="0095004E">
        <w:t>Stefano Marmi’s data library</w:t>
      </w:r>
      <w:bookmarkEnd w:id="13"/>
      <w:bookmarkEnd w:id="14"/>
      <w:r>
        <w:t xml:space="preserve">. </w:t>
      </w:r>
      <w:r w:rsidR="001449D6">
        <w:t>This data library constructed the Fama-French factors with the same way as Fama and French did.</w:t>
      </w:r>
      <w:r w:rsidR="00E6209A">
        <w:t xml:space="preserve">  To be more specific, the portfolios created by this data library are constructed at the end of each June. ME is market capitalization at the last fiscal year end before June. BE/ME is book equity at the last fiscal year end before March divided by ME at the last fiscal year end before June.</w:t>
      </w:r>
    </w:p>
    <w:p w14:paraId="02AAF3C3" w14:textId="5D94F057" w:rsidR="00397564" w:rsidRDefault="00397564"/>
    <w:p w14:paraId="35D51B17" w14:textId="77777777" w:rsidR="00E61FB7" w:rsidRDefault="00E61FB7"/>
    <w:p w14:paraId="2F3078E2" w14:textId="4877B646" w:rsidR="00631C3F" w:rsidRPr="00631C3F" w:rsidRDefault="00631C3F" w:rsidP="001F27DD">
      <w:pPr>
        <w:pStyle w:val="paragraph"/>
        <w:spacing w:before="0" w:beforeAutospacing="0" w:after="0" w:afterAutospacing="0"/>
        <w:textAlignment w:val="baseline"/>
        <w:rPr>
          <w:rStyle w:val="normaltextrun"/>
          <w:b/>
          <w:bCs/>
          <w:sz w:val="40"/>
          <w:szCs w:val="40"/>
        </w:rPr>
      </w:pPr>
      <w:r w:rsidRPr="00631C3F">
        <w:rPr>
          <w:rStyle w:val="normaltextrun"/>
          <w:b/>
          <w:bCs/>
          <w:sz w:val="40"/>
          <w:szCs w:val="40"/>
        </w:rPr>
        <w:t>Exploratory Data Analysis</w:t>
      </w:r>
    </w:p>
    <w:p w14:paraId="6B525BE9" w14:textId="77777777" w:rsidR="001F27DD" w:rsidRPr="0095004E" w:rsidRDefault="001F27DD" w:rsidP="001F27DD">
      <w:pPr>
        <w:pStyle w:val="paragraph"/>
        <w:spacing w:before="0" w:beforeAutospacing="0" w:after="0" w:afterAutospacing="0"/>
        <w:textAlignment w:val="baseline"/>
        <w:rPr>
          <w:b/>
          <w:bCs/>
        </w:rPr>
      </w:pPr>
    </w:p>
    <w:p w14:paraId="519CDAD3" w14:textId="6726B569" w:rsidR="001F27DD" w:rsidRDefault="001F27DD" w:rsidP="001F27DD">
      <w:pPr>
        <w:pStyle w:val="paragraph"/>
        <w:spacing w:before="0" w:beforeAutospacing="0" w:after="0" w:afterAutospacing="0" w:line="480" w:lineRule="auto"/>
        <w:ind w:firstLine="720"/>
        <w:textAlignment w:val="baseline"/>
      </w:pPr>
      <w:r w:rsidRPr="0095004E">
        <w:t xml:space="preserve">We will utilize current and historical returns data of </w:t>
      </w:r>
      <w:proofErr w:type="spellStart"/>
      <w:r w:rsidRPr="0095004E">
        <w:t>Fama</w:t>
      </w:r>
      <w:proofErr w:type="spellEnd"/>
      <w:r w:rsidRPr="0095004E">
        <w:t xml:space="preserve">-French three factors (MRF, SMB, and HML) and portfolios in Hong Kong, Singapore, South Korea, India, and China Mainland, provided by Stefano </w:t>
      </w:r>
      <w:proofErr w:type="spellStart"/>
      <w:r w:rsidRPr="0095004E">
        <w:t>Marmi’s</w:t>
      </w:r>
      <w:proofErr w:type="spellEnd"/>
      <w:r w:rsidRPr="0095004E">
        <w:t xml:space="preserve"> data library. The data library provides time-series data until March 2013, while the start dates for different areas are not the same, which varies from July 1988 to July 1998. We decide to investigate all areas from July 2005 to December 2012 </w:t>
      </w:r>
      <w:r w:rsidRPr="0095004E">
        <w:lastRenderedPageBreak/>
        <w:t>because of three reasons. First, the sample period should be relatively recent to guarantee the consistency and stability of time series data. Second, there are more than 65% of non-tradable stocks before 2005 in China’s stock market. Non-tradable stocks will have an unexpected and unreasonable effect from tradable stocks, which oversimplifies the whole situation. Thus, the earliest time of the sample period will be Jan 2005. The last reason is that the sample period has a timespan of 96 months over eight years, which is relatively stable and effective in conducting the empirical analysis. Also, the data library uses different risk-free rates based on different areas in Tables 1 (Hong Kong: Hong Kong 3 months deposit rate; Singapore: Singapore 3 months Treasury bill rate; South Korea: South Korea 91 days rate; India: India 91 days Treasury bill rate; China: China 91 days Treasury bill rate). We will follow the same standard along with the empirical analysis.</w:t>
      </w:r>
    </w:p>
    <w:p w14:paraId="530A6C1D" w14:textId="77777777" w:rsidR="00E20A43" w:rsidRPr="0095004E" w:rsidRDefault="00E20A43" w:rsidP="001F27DD">
      <w:pPr>
        <w:pStyle w:val="paragraph"/>
        <w:spacing w:before="0" w:beforeAutospacing="0" w:after="0" w:afterAutospacing="0" w:line="480" w:lineRule="auto"/>
        <w:ind w:firstLine="720"/>
        <w:textAlignment w:val="baseline"/>
        <w:rPr>
          <w:rStyle w:val="eop"/>
        </w:rPr>
      </w:pPr>
    </w:p>
    <w:p w14:paraId="2DAD29BB" w14:textId="408BC9A3" w:rsidR="00E20A43" w:rsidRPr="00344FF9" w:rsidRDefault="001F27DD" w:rsidP="00E20A43">
      <w:pPr>
        <w:pStyle w:val="paragraph"/>
        <w:spacing w:before="0" w:beforeAutospacing="0" w:after="0" w:afterAutospacing="0"/>
        <w:textAlignment w:val="baseline"/>
        <w:rPr>
          <w:rStyle w:val="eop"/>
          <w:b/>
        </w:rPr>
      </w:pPr>
      <w:r w:rsidRPr="00344FF9">
        <w:rPr>
          <w:rStyle w:val="eop"/>
          <w:b/>
        </w:rPr>
        <w:t>Table 1: Sampling periods and the risk-free rates for the empirical analysis</w:t>
      </w:r>
    </w:p>
    <w:tbl>
      <w:tblPr>
        <w:tblW w:w="7220" w:type="dxa"/>
        <w:tblLook w:val="04A0" w:firstRow="1" w:lastRow="0" w:firstColumn="1" w:lastColumn="0" w:noHBand="0" w:noVBand="1"/>
      </w:tblPr>
      <w:tblGrid>
        <w:gridCol w:w="1320"/>
        <w:gridCol w:w="2000"/>
        <w:gridCol w:w="3900"/>
      </w:tblGrid>
      <w:tr w:rsidR="001F27DD" w:rsidRPr="001B5A2E" w14:paraId="0EE94301" w14:textId="77777777" w:rsidTr="006D2DA3">
        <w:trPr>
          <w:trHeight w:val="320"/>
        </w:trPr>
        <w:tc>
          <w:tcPr>
            <w:tcW w:w="1320" w:type="dxa"/>
            <w:tcBorders>
              <w:top w:val="single" w:sz="8" w:space="0" w:color="auto"/>
              <w:left w:val="nil"/>
              <w:bottom w:val="single" w:sz="4" w:space="0" w:color="auto"/>
              <w:right w:val="nil"/>
            </w:tcBorders>
            <w:shd w:val="clear" w:color="auto" w:fill="auto"/>
            <w:noWrap/>
            <w:vAlign w:val="bottom"/>
            <w:hideMark/>
          </w:tcPr>
          <w:p w14:paraId="1E948E64" w14:textId="77777777" w:rsidR="001F27DD" w:rsidRPr="001B5A2E" w:rsidRDefault="001F27DD" w:rsidP="00E20A43">
            <w:pPr>
              <w:rPr>
                <w:i/>
                <w:iCs/>
                <w:color w:val="000000"/>
                <w:sz w:val="20"/>
                <w:szCs w:val="20"/>
              </w:rPr>
            </w:pPr>
            <w:r w:rsidRPr="001B5A2E">
              <w:rPr>
                <w:i/>
                <w:iCs/>
                <w:color w:val="000000"/>
                <w:sz w:val="20"/>
                <w:szCs w:val="20"/>
              </w:rPr>
              <w:t>Country</w:t>
            </w:r>
          </w:p>
        </w:tc>
        <w:tc>
          <w:tcPr>
            <w:tcW w:w="2000" w:type="dxa"/>
            <w:tcBorders>
              <w:top w:val="single" w:sz="8" w:space="0" w:color="auto"/>
              <w:left w:val="nil"/>
              <w:bottom w:val="single" w:sz="4" w:space="0" w:color="auto"/>
              <w:right w:val="nil"/>
            </w:tcBorders>
            <w:shd w:val="clear" w:color="auto" w:fill="auto"/>
            <w:noWrap/>
            <w:vAlign w:val="bottom"/>
            <w:hideMark/>
          </w:tcPr>
          <w:p w14:paraId="44275AC9" w14:textId="77777777" w:rsidR="001F27DD" w:rsidRPr="001B5A2E" w:rsidRDefault="001F27DD" w:rsidP="00E20A43">
            <w:pPr>
              <w:rPr>
                <w:i/>
                <w:iCs/>
                <w:color w:val="000000"/>
                <w:sz w:val="20"/>
                <w:szCs w:val="20"/>
              </w:rPr>
            </w:pPr>
            <w:r w:rsidRPr="001B5A2E">
              <w:rPr>
                <w:i/>
                <w:iCs/>
                <w:color w:val="000000"/>
                <w:sz w:val="20"/>
                <w:szCs w:val="20"/>
              </w:rPr>
              <w:t>Sampling period</w:t>
            </w:r>
          </w:p>
        </w:tc>
        <w:tc>
          <w:tcPr>
            <w:tcW w:w="3900" w:type="dxa"/>
            <w:tcBorders>
              <w:top w:val="single" w:sz="8" w:space="0" w:color="auto"/>
              <w:left w:val="nil"/>
              <w:bottom w:val="single" w:sz="4" w:space="0" w:color="auto"/>
              <w:right w:val="nil"/>
            </w:tcBorders>
            <w:shd w:val="clear" w:color="auto" w:fill="auto"/>
            <w:noWrap/>
            <w:vAlign w:val="bottom"/>
            <w:hideMark/>
          </w:tcPr>
          <w:p w14:paraId="34D29D4C" w14:textId="77777777" w:rsidR="001F27DD" w:rsidRPr="001B5A2E" w:rsidRDefault="001F27DD" w:rsidP="00E20A43">
            <w:pPr>
              <w:rPr>
                <w:i/>
                <w:iCs/>
                <w:color w:val="000000"/>
                <w:sz w:val="20"/>
                <w:szCs w:val="20"/>
              </w:rPr>
            </w:pPr>
            <w:r w:rsidRPr="001B5A2E">
              <w:rPr>
                <w:i/>
                <w:iCs/>
                <w:color w:val="000000"/>
                <w:sz w:val="20"/>
                <w:szCs w:val="20"/>
              </w:rPr>
              <w:t>Risk-free rate</w:t>
            </w:r>
          </w:p>
        </w:tc>
      </w:tr>
      <w:tr w:rsidR="001F27DD" w:rsidRPr="001B5A2E" w14:paraId="4718649C" w14:textId="77777777" w:rsidTr="006D2DA3">
        <w:trPr>
          <w:trHeight w:val="320"/>
        </w:trPr>
        <w:tc>
          <w:tcPr>
            <w:tcW w:w="1320" w:type="dxa"/>
            <w:tcBorders>
              <w:top w:val="nil"/>
              <w:left w:val="nil"/>
              <w:bottom w:val="nil"/>
              <w:right w:val="nil"/>
            </w:tcBorders>
            <w:shd w:val="clear" w:color="auto" w:fill="auto"/>
            <w:noWrap/>
            <w:vAlign w:val="bottom"/>
            <w:hideMark/>
          </w:tcPr>
          <w:p w14:paraId="25BC4166" w14:textId="77777777" w:rsidR="001F27DD" w:rsidRPr="001B5A2E" w:rsidRDefault="001F27DD" w:rsidP="00E20A43">
            <w:pPr>
              <w:rPr>
                <w:color w:val="000000"/>
                <w:sz w:val="20"/>
                <w:szCs w:val="20"/>
              </w:rPr>
            </w:pPr>
            <w:r w:rsidRPr="001B5A2E">
              <w:rPr>
                <w:color w:val="000000"/>
                <w:sz w:val="20"/>
                <w:szCs w:val="20"/>
              </w:rPr>
              <w:t>China</w:t>
            </w:r>
          </w:p>
        </w:tc>
        <w:tc>
          <w:tcPr>
            <w:tcW w:w="2000" w:type="dxa"/>
            <w:tcBorders>
              <w:top w:val="nil"/>
              <w:left w:val="nil"/>
              <w:bottom w:val="nil"/>
              <w:right w:val="nil"/>
            </w:tcBorders>
            <w:shd w:val="clear" w:color="auto" w:fill="auto"/>
            <w:noWrap/>
            <w:vAlign w:val="bottom"/>
            <w:hideMark/>
          </w:tcPr>
          <w:p w14:paraId="4225BD32" w14:textId="77777777" w:rsidR="001F27DD" w:rsidRPr="001B5A2E" w:rsidRDefault="001F27DD" w:rsidP="00E20A43">
            <w:pPr>
              <w:rPr>
                <w:color w:val="000000"/>
                <w:sz w:val="20"/>
                <w:szCs w:val="20"/>
              </w:rPr>
            </w:pPr>
            <w:r w:rsidRPr="001B5A2E">
              <w:rPr>
                <w:color w:val="000000"/>
                <w:sz w:val="20"/>
                <w:szCs w:val="20"/>
              </w:rPr>
              <w:t>01/2000 -- 12/2012</w:t>
            </w:r>
          </w:p>
        </w:tc>
        <w:tc>
          <w:tcPr>
            <w:tcW w:w="3900" w:type="dxa"/>
            <w:tcBorders>
              <w:top w:val="nil"/>
              <w:left w:val="nil"/>
              <w:bottom w:val="nil"/>
              <w:right w:val="nil"/>
            </w:tcBorders>
            <w:shd w:val="clear" w:color="auto" w:fill="auto"/>
            <w:noWrap/>
            <w:vAlign w:val="bottom"/>
            <w:hideMark/>
          </w:tcPr>
          <w:p w14:paraId="3CD80A85" w14:textId="77777777" w:rsidR="001F27DD" w:rsidRPr="001B5A2E" w:rsidRDefault="001F27DD" w:rsidP="00E20A43">
            <w:pPr>
              <w:rPr>
                <w:color w:val="000000"/>
                <w:sz w:val="20"/>
                <w:szCs w:val="20"/>
              </w:rPr>
            </w:pPr>
            <w:r w:rsidRPr="001B5A2E">
              <w:rPr>
                <w:color w:val="000000"/>
                <w:sz w:val="20"/>
                <w:szCs w:val="20"/>
              </w:rPr>
              <w:t>China 91 days Treasury bill rate</w:t>
            </w:r>
          </w:p>
        </w:tc>
      </w:tr>
      <w:tr w:rsidR="001F27DD" w:rsidRPr="001B5A2E" w14:paraId="2C7AD00D" w14:textId="77777777" w:rsidTr="006D2DA3">
        <w:trPr>
          <w:trHeight w:val="320"/>
        </w:trPr>
        <w:tc>
          <w:tcPr>
            <w:tcW w:w="1320" w:type="dxa"/>
            <w:tcBorders>
              <w:top w:val="nil"/>
              <w:left w:val="nil"/>
              <w:bottom w:val="nil"/>
              <w:right w:val="nil"/>
            </w:tcBorders>
            <w:shd w:val="clear" w:color="auto" w:fill="auto"/>
            <w:noWrap/>
            <w:vAlign w:val="bottom"/>
            <w:hideMark/>
          </w:tcPr>
          <w:p w14:paraId="0DD89BC7" w14:textId="77777777" w:rsidR="001F27DD" w:rsidRPr="001B5A2E" w:rsidRDefault="001F27DD" w:rsidP="00E20A43">
            <w:pPr>
              <w:rPr>
                <w:color w:val="000000"/>
                <w:sz w:val="20"/>
                <w:szCs w:val="20"/>
              </w:rPr>
            </w:pPr>
            <w:r w:rsidRPr="001B5A2E">
              <w:rPr>
                <w:color w:val="000000"/>
                <w:sz w:val="20"/>
                <w:szCs w:val="20"/>
              </w:rPr>
              <w:t>India</w:t>
            </w:r>
          </w:p>
        </w:tc>
        <w:tc>
          <w:tcPr>
            <w:tcW w:w="2000" w:type="dxa"/>
            <w:tcBorders>
              <w:top w:val="nil"/>
              <w:left w:val="nil"/>
              <w:bottom w:val="nil"/>
              <w:right w:val="nil"/>
            </w:tcBorders>
            <w:shd w:val="clear" w:color="auto" w:fill="auto"/>
            <w:noWrap/>
            <w:vAlign w:val="bottom"/>
            <w:hideMark/>
          </w:tcPr>
          <w:p w14:paraId="49DCD25F" w14:textId="77777777" w:rsidR="001F27DD" w:rsidRPr="001B5A2E" w:rsidRDefault="001F27DD" w:rsidP="00E20A43">
            <w:pPr>
              <w:rPr>
                <w:color w:val="000000"/>
                <w:sz w:val="20"/>
                <w:szCs w:val="20"/>
              </w:rPr>
            </w:pPr>
            <w:r w:rsidRPr="001B5A2E">
              <w:rPr>
                <w:color w:val="000000"/>
                <w:sz w:val="20"/>
                <w:szCs w:val="20"/>
              </w:rPr>
              <w:t>01/2000 -- 12/2012</w:t>
            </w:r>
          </w:p>
        </w:tc>
        <w:tc>
          <w:tcPr>
            <w:tcW w:w="3900" w:type="dxa"/>
            <w:tcBorders>
              <w:top w:val="nil"/>
              <w:left w:val="nil"/>
              <w:bottom w:val="nil"/>
              <w:right w:val="nil"/>
            </w:tcBorders>
            <w:shd w:val="clear" w:color="auto" w:fill="auto"/>
            <w:noWrap/>
            <w:vAlign w:val="bottom"/>
            <w:hideMark/>
          </w:tcPr>
          <w:p w14:paraId="377F5F61" w14:textId="77777777" w:rsidR="001F27DD" w:rsidRPr="001B5A2E" w:rsidRDefault="001F27DD" w:rsidP="00E20A43">
            <w:pPr>
              <w:rPr>
                <w:color w:val="000000"/>
                <w:sz w:val="20"/>
                <w:szCs w:val="20"/>
              </w:rPr>
            </w:pPr>
            <w:r w:rsidRPr="001B5A2E">
              <w:rPr>
                <w:color w:val="000000"/>
                <w:sz w:val="20"/>
                <w:szCs w:val="20"/>
              </w:rPr>
              <w:t>India 91 days Treasury bill rate</w:t>
            </w:r>
          </w:p>
        </w:tc>
      </w:tr>
      <w:tr w:rsidR="001F27DD" w:rsidRPr="001B5A2E" w14:paraId="7307BA69" w14:textId="77777777" w:rsidTr="006D2DA3">
        <w:trPr>
          <w:trHeight w:val="320"/>
        </w:trPr>
        <w:tc>
          <w:tcPr>
            <w:tcW w:w="1320" w:type="dxa"/>
            <w:tcBorders>
              <w:top w:val="nil"/>
              <w:left w:val="nil"/>
              <w:bottom w:val="nil"/>
              <w:right w:val="nil"/>
            </w:tcBorders>
            <w:shd w:val="clear" w:color="auto" w:fill="auto"/>
            <w:noWrap/>
            <w:vAlign w:val="bottom"/>
            <w:hideMark/>
          </w:tcPr>
          <w:p w14:paraId="7E8C44F5" w14:textId="77777777" w:rsidR="001F27DD" w:rsidRPr="001B5A2E" w:rsidRDefault="001F27DD" w:rsidP="00E20A43">
            <w:pPr>
              <w:rPr>
                <w:color w:val="000000"/>
                <w:sz w:val="20"/>
                <w:szCs w:val="20"/>
              </w:rPr>
            </w:pPr>
            <w:r w:rsidRPr="001B5A2E">
              <w:rPr>
                <w:color w:val="000000"/>
                <w:sz w:val="20"/>
                <w:szCs w:val="20"/>
              </w:rPr>
              <w:t>South Korea</w:t>
            </w:r>
          </w:p>
        </w:tc>
        <w:tc>
          <w:tcPr>
            <w:tcW w:w="2000" w:type="dxa"/>
            <w:tcBorders>
              <w:top w:val="nil"/>
              <w:left w:val="nil"/>
              <w:bottom w:val="nil"/>
              <w:right w:val="nil"/>
            </w:tcBorders>
            <w:shd w:val="clear" w:color="auto" w:fill="auto"/>
            <w:noWrap/>
            <w:vAlign w:val="bottom"/>
            <w:hideMark/>
          </w:tcPr>
          <w:p w14:paraId="663E5AB8" w14:textId="77777777" w:rsidR="001F27DD" w:rsidRPr="001B5A2E" w:rsidRDefault="001F27DD" w:rsidP="00E20A43">
            <w:pPr>
              <w:rPr>
                <w:color w:val="000000"/>
                <w:sz w:val="20"/>
                <w:szCs w:val="20"/>
              </w:rPr>
            </w:pPr>
            <w:r w:rsidRPr="001B5A2E">
              <w:rPr>
                <w:color w:val="000000"/>
                <w:sz w:val="20"/>
                <w:szCs w:val="20"/>
              </w:rPr>
              <w:t>01/2000 -- 12/2012</w:t>
            </w:r>
          </w:p>
        </w:tc>
        <w:tc>
          <w:tcPr>
            <w:tcW w:w="3900" w:type="dxa"/>
            <w:tcBorders>
              <w:top w:val="nil"/>
              <w:left w:val="nil"/>
              <w:bottom w:val="nil"/>
              <w:right w:val="nil"/>
            </w:tcBorders>
            <w:shd w:val="clear" w:color="auto" w:fill="auto"/>
            <w:noWrap/>
            <w:vAlign w:val="bottom"/>
            <w:hideMark/>
          </w:tcPr>
          <w:p w14:paraId="012B3E75" w14:textId="77777777" w:rsidR="001F27DD" w:rsidRPr="001B5A2E" w:rsidRDefault="001F27DD" w:rsidP="00E20A43">
            <w:pPr>
              <w:rPr>
                <w:color w:val="000000"/>
                <w:sz w:val="20"/>
                <w:szCs w:val="20"/>
              </w:rPr>
            </w:pPr>
            <w:r w:rsidRPr="001B5A2E">
              <w:rPr>
                <w:color w:val="000000"/>
                <w:sz w:val="20"/>
                <w:szCs w:val="20"/>
              </w:rPr>
              <w:t>South Korea 91 days rate</w:t>
            </w:r>
          </w:p>
        </w:tc>
      </w:tr>
      <w:tr w:rsidR="001F27DD" w:rsidRPr="001B5A2E" w14:paraId="14C2CE67" w14:textId="77777777" w:rsidTr="006D2DA3">
        <w:trPr>
          <w:trHeight w:val="320"/>
        </w:trPr>
        <w:tc>
          <w:tcPr>
            <w:tcW w:w="1320" w:type="dxa"/>
            <w:tcBorders>
              <w:top w:val="nil"/>
              <w:left w:val="nil"/>
              <w:bottom w:val="nil"/>
              <w:right w:val="nil"/>
            </w:tcBorders>
            <w:shd w:val="clear" w:color="auto" w:fill="auto"/>
            <w:noWrap/>
            <w:vAlign w:val="bottom"/>
            <w:hideMark/>
          </w:tcPr>
          <w:p w14:paraId="0A8738EC" w14:textId="77777777" w:rsidR="001F27DD" w:rsidRPr="001B5A2E" w:rsidRDefault="001F27DD" w:rsidP="00E20A43">
            <w:pPr>
              <w:rPr>
                <w:color w:val="000000"/>
                <w:sz w:val="20"/>
                <w:szCs w:val="20"/>
              </w:rPr>
            </w:pPr>
            <w:r w:rsidRPr="001B5A2E">
              <w:rPr>
                <w:color w:val="000000"/>
                <w:sz w:val="20"/>
                <w:szCs w:val="20"/>
              </w:rPr>
              <w:t>Hong Kong</w:t>
            </w:r>
          </w:p>
        </w:tc>
        <w:tc>
          <w:tcPr>
            <w:tcW w:w="2000" w:type="dxa"/>
            <w:tcBorders>
              <w:top w:val="nil"/>
              <w:left w:val="nil"/>
              <w:bottom w:val="nil"/>
              <w:right w:val="nil"/>
            </w:tcBorders>
            <w:shd w:val="clear" w:color="auto" w:fill="auto"/>
            <w:noWrap/>
            <w:vAlign w:val="bottom"/>
            <w:hideMark/>
          </w:tcPr>
          <w:p w14:paraId="009F6E9C" w14:textId="77777777" w:rsidR="001F27DD" w:rsidRPr="001B5A2E" w:rsidRDefault="001F27DD" w:rsidP="00E20A43">
            <w:pPr>
              <w:rPr>
                <w:color w:val="000000"/>
                <w:sz w:val="20"/>
                <w:szCs w:val="20"/>
              </w:rPr>
            </w:pPr>
            <w:r w:rsidRPr="001B5A2E">
              <w:rPr>
                <w:color w:val="000000"/>
                <w:sz w:val="20"/>
                <w:szCs w:val="20"/>
              </w:rPr>
              <w:t>01/2000 -- 12/2012</w:t>
            </w:r>
          </w:p>
        </w:tc>
        <w:tc>
          <w:tcPr>
            <w:tcW w:w="3900" w:type="dxa"/>
            <w:tcBorders>
              <w:top w:val="nil"/>
              <w:left w:val="nil"/>
              <w:bottom w:val="nil"/>
              <w:right w:val="nil"/>
            </w:tcBorders>
            <w:shd w:val="clear" w:color="auto" w:fill="auto"/>
            <w:noWrap/>
            <w:vAlign w:val="bottom"/>
            <w:hideMark/>
          </w:tcPr>
          <w:p w14:paraId="7F6304F9" w14:textId="77777777" w:rsidR="001F27DD" w:rsidRPr="001B5A2E" w:rsidRDefault="001F27DD" w:rsidP="00E20A43">
            <w:pPr>
              <w:rPr>
                <w:color w:val="000000"/>
                <w:sz w:val="20"/>
                <w:szCs w:val="20"/>
              </w:rPr>
            </w:pPr>
            <w:r w:rsidRPr="001B5A2E">
              <w:rPr>
                <w:color w:val="000000"/>
                <w:sz w:val="20"/>
                <w:szCs w:val="20"/>
              </w:rPr>
              <w:t>Hong Kong 3 months deposit rate</w:t>
            </w:r>
          </w:p>
        </w:tc>
      </w:tr>
      <w:tr w:rsidR="001F27DD" w:rsidRPr="001B5A2E" w14:paraId="0EF8C926" w14:textId="77777777" w:rsidTr="006D2DA3">
        <w:trPr>
          <w:trHeight w:val="340"/>
        </w:trPr>
        <w:tc>
          <w:tcPr>
            <w:tcW w:w="1320" w:type="dxa"/>
            <w:tcBorders>
              <w:top w:val="nil"/>
              <w:left w:val="nil"/>
              <w:bottom w:val="single" w:sz="8" w:space="0" w:color="auto"/>
              <w:right w:val="nil"/>
            </w:tcBorders>
            <w:shd w:val="clear" w:color="auto" w:fill="auto"/>
            <w:noWrap/>
            <w:vAlign w:val="bottom"/>
            <w:hideMark/>
          </w:tcPr>
          <w:p w14:paraId="107513DF" w14:textId="77777777" w:rsidR="001F27DD" w:rsidRPr="001B5A2E" w:rsidRDefault="001F27DD" w:rsidP="00E20A43">
            <w:pPr>
              <w:rPr>
                <w:color w:val="000000"/>
                <w:sz w:val="20"/>
                <w:szCs w:val="20"/>
              </w:rPr>
            </w:pPr>
            <w:r w:rsidRPr="001B5A2E">
              <w:rPr>
                <w:color w:val="000000"/>
                <w:sz w:val="20"/>
                <w:szCs w:val="20"/>
              </w:rPr>
              <w:t>Singapore</w:t>
            </w:r>
          </w:p>
        </w:tc>
        <w:tc>
          <w:tcPr>
            <w:tcW w:w="2000" w:type="dxa"/>
            <w:tcBorders>
              <w:top w:val="nil"/>
              <w:left w:val="nil"/>
              <w:bottom w:val="single" w:sz="8" w:space="0" w:color="auto"/>
              <w:right w:val="nil"/>
            </w:tcBorders>
            <w:shd w:val="clear" w:color="auto" w:fill="auto"/>
            <w:noWrap/>
            <w:vAlign w:val="bottom"/>
            <w:hideMark/>
          </w:tcPr>
          <w:p w14:paraId="76880C4E" w14:textId="77777777" w:rsidR="001F27DD" w:rsidRPr="001B5A2E" w:rsidRDefault="001F27DD" w:rsidP="00E20A43">
            <w:pPr>
              <w:rPr>
                <w:color w:val="000000"/>
                <w:sz w:val="20"/>
                <w:szCs w:val="20"/>
              </w:rPr>
            </w:pPr>
            <w:r w:rsidRPr="001B5A2E">
              <w:rPr>
                <w:color w:val="000000"/>
                <w:sz w:val="20"/>
                <w:szCs w:val="20"/>
              </w:rPr>
              <w:t>01/2000 -- 12/2012</w:t>
            </w:r>
          </w:p>
        </w:tc>
        <w:tc>
          <w:tcPr>
            <w:tcW w:w="3900" w:type="dxa"/>
            <w:tcBorders>
              <w:top w:val="nil"/>
              <w:left w:val="nil"/>
              <w:bottom w:val="single" w:sz="8" w:space="0" w:color="auto"/>
              <w:right w:val="nil"/>
            </w:tcBorders>
            <w:shd w:val="clear" w:color="auto" w:fill="auto"/>
            <w:noWrap/>
            <w:vAlign w:val="bottom"/>
            <w:hideMark/>
          </w:tcPr>
          <w:p w14:paraId="5C4CF250" w14:textId="77777777" w:rsidR="001F27DD" w:rsidRPr="001B5A2E" w:rsidRDefault="001F27DD" w:rsidP="00E20A43">
            <w:pPr>
              <w:rPr>
                <w:color w:val="000000"/>
                <w:sz w:val="20"/>
                <w:szCs w:val="20"/>
              </w:rPr>
            </w:pPr>
            <w:r w:rsidRPr="001B5A2E">
              <w:rPr>
                <w:color w:val="000000"/>
                <w:sz w:val="20"/>
                <w:szCs w:val="20"/>
              </w:rPr>
              <w:t>Singapore 3 months Treasury bill rate</w:t>
            </w:r>
          </w:p>
        </w:tc>
      </w:tr>
    </w:tbl>
    <w:p w14:paraId="7949615C" w14:textId="77777777" w:rsidR="001F27DD" w:rsidRDefault="001F27DD" w:rsidP="001F27DD">
      <w:pPr>
        <w:pStyle w:val="paragraph"/>
        <w:spacing w:before="0" w:beforeAutospacing="0" w:after="0" w:afterAutospacing="0"/>
        <w:textAlignment w:val="baseline"/>
        <w:rPr>
          <w:rStyle w:val="eop"/>
          <w:rFonts w:ascii="Calibri" w:hAnsi="Calibri" w:cs="Segoe UI"/>
          <w:sz w:val="22"/>
          <w:szCs w:val="22"/>
        </w:rPr>
      </w:pPr>
    </w:p>
    <w:p w14:paraId="0F290D39" w14:textId="77777777" w:rsidR="001F27DD" w:rsidRPr="0095004E" w:rsidRDefault="001F27DD" w:rsidP="001F27DD">
      <w:pPr>
        <w:pStyle w:val="paragraph"/>
        <w:spacing w:before="0" w:beforeAutospacing="0" w:after="0" w:afterAutospacing="0" w:line="480" w:lineRule="auto"/>
        <w:ind w:firstLine="720"/>
        <w:textAlignment w:val="baseline"/>
        <w:rPr>
          <w:rStyle w:val="normaltextrun"/>
        </w:rPr>
      </w:pPr>
      <w:r w:rsidRPr="0095004E">
        <w:rPr>
          <w:rStyle w:val="normaltextrun"/>
        </w:rPr>
        <w:t xml:space="preserve">From Table 2 to Table 6, it represents the summary statistics of the monthly average return and the market factor Rm-Rf, the size factor SMB, and the value factor HML from 2005 to 2012. These tables display that except for China, average excess returns are positively related to book to market value (HML) for the rest of emerging markets. Besides, the average excess return is positively related to the size factor (SMB) for all of the emerging markets. We also notice that the standard deviation of average excess returns does not vary a lot across different countries. China’s stock market has the highest standard variation, and next in order are India, </w:t>
      </w:r>
      <w:r w:rsidRPr="0095004E">
        <w:rPr>
          <w:rStyle w:val="normaltextrun"/>
        </w:rPr>
        <w:lastRenderedPageBreak/>
        <w:t>Hong Kong, Singapore, and South Korea. The highest standard deviation demonstrates that China is the most volatile market among these five countries. Singapore and South Korea is the most stable market compared to others.</w:t>
      </w:r>
    </w:p>
    <w:p w14:paraId="6A7E30CC" w14:textId="6467C716" w:rsidR="007131C2" w:rsidRPr="0095004E" w:rsidRDefault="001F27DD" w:rsidP="001F27DD">
      <w:pPr>
        <w:pStyle w:val="paragraph"/>
        <w:spacing w:before="0" w:beforeAutospacing="0" w:after="0" w:afterAutospacing="0"/>
        <w:textAlignment w:val="baseline"/>
        <w:rPr>
          <w:rStyle w:val="normaltextrun"/>
          <w:b/>
          <w:bCs/>
        </w:rPr>
      </w:pPr>
      <w:bookmarkStart w:id="15" w:name="OLE_LINK49"/>
      <w:bookmarkStart w:id="16" w:name="OLE_LINK50"/>
      <w:r w:rsidRPr="0095004E">
        <w:rPr>
          <w:rStyle w:val="normaltextrun"/>
          <w:b/>
          <w:bCs/>
        </w:rPr>
        <w:t xml:space="preserve">Table 2: Descriptive statistics of independent variables and the monthly returns </w:t>
      </w:r>
    </w:p>
    <w:tbl>
      <w:tblPr>
        <w:tblW w:w="8540" w:type="dxa"/>
        <w:tblLook w:val="04A0" w:firstRow="1" w:lastRow="0" w:firstColumn="1" w:lastColumn="0" w:noHBand="0" w:noVBand="1"/>
      </w:tblPr>
      <w:tblGrid>
        <w:gridCol w:w="2580"/>
        <w:gridCol w:w="1580"/>
        <w:gridCol w:w="1540"/>
        <w:gridCol w:w="1300"/>
        <w:gridCol w:w="1540"/>
      </w:tblGrid>
      <w:tr w:rsidR="001F27DD" w:rsidRPr="00F30121" w14:paraId="61E69330" w14:textId="77777777" w:rsidTr="006D2DA3">
        <w:trPr>
          <w:trHeight w:val="320"/>
        </w:trPr>
        <w:tc>
          <w:tcPr>
            <w:tcW w:w="2580" w:type="dxa"/>
            <w:tcBorders>
              <w:top w:val="single" w:sz="8" w:space="0" w:color="auto"/>
              <w:left w:val="nil"/>
              <w:bottom w:val="single" w:sz="4" w:space="0" w:color="auto"/>
              <w:right w:val="nil"/>
            </w:tcBorders>
            <w:shd w:val="clear" w:color="auto" w:fill="auto"/>
            <w:noWrap/>
            <w:vAlign w:val="bottom"/>
            <w:hideMark/>
          </w:tcPr>
          <w:bookmarkEnd w:id="15"/>
          <w:bookmarkEnd w:id="16"/>
          <w:p w14:paraId="008626C1" w14:textId="77777777" w:rsidR="001F27DD" w:rsidRPr="0095004E" w:rsidRDefault="001F27DD" w:rsidP="006D2DA3">
            <w:pPr>
              <w:jc w:val="center"/>
              <w:rPr>
                <w:i/>
                <w:iCs/>
                <w:color w:val="000000"/>
                <w:sz w:val="20"/>
                <w:szCs w:val="20"/>
              </w:rPr>
            </w:pPr>
            <w:r w:rsidRPr="0095004E">
              <w:rPr>
                <w:i/>
                <w:iCs/>
                <w:color w:val="000000"/>
                <w:sz w:val="20"/>
                <w:szCs w:val="20"/>
              </w:rPr>
              <w:t>China</w:t>
            </w:r>
          </w:p>
        </w:tc>
        <w:tc>
          <w:tcPr>
            <w:tcW w:w="1580" w:type="dxa"/>
            <w:tcBorders>
              <w:top w:val="single" w:sz="8" w:space="0" w:color="auto"/>
              <w:left w:val="nil"/>
              <w:bottom w:val="single" w:sz="4" w:space="0" w:color="auto"/>
              <w:right w:val="nil"/>
            </w:tcBorders>
            <w:shd w:val="clear" w:color="auto" w:fill="auto"/>
            <w:noWrap/>
            <w:vAlign w:val="bottom"/>
            <w:hideMark/>
          </w:tcPr>
          <w:p w14:paraId="35895876" w14:textId="77777777" w:rsidR="001F27DD" w:rsidRPr="0095004E" w:rsidRDefault="001F27DD" w:rsidP="006D2DA3">
            <w:pPr>
              <w:jc w:val="center"/>
              <w:rPr>
                <w:i/>
                <w:iCs/>
                <w:color w:val="000000"/>
                <w:sz w:val="20"/>
                <w:szCs w:val="20"/>
              </w:rPr>
            </w:pPr>
            <w:r w:rsidRPr="0095004E">
              <w:rPr>
                <w:i/>
                <w:iCs/>
                <w:color w:val="000000"/>
                <w:sz w:val="20"/>
                <w:szCs w:val="20"/>
              </w:rPr>
              <w:t>Returns</w:t>
            </w:r>
          </w:p>
        </w:tc>
        <w:tc>
          <w:tcPr>
            <w:tcW w:w="1540" w:type="dxa"/>
            <w:tcBorders>
              <w:top w:val="single" w:sz="8" w:space="0" w:color="auto"/>
              <w:left w:val="nil"/>
              <w:bottom w:val="single" w:sz="4" w:space="0" w:color="auto"/>
              <w:right w:val="nil"/>
            </w:tcBorders>
            <w:shd w:val="clear" w:color="auto" w:fill="auto"/>
            <w:noWrap/>
            <w:vAlign w:val="bottom"/>
            <w:hideMark/>
          </w:tcPr>
          <w:p w14:paraId="71136FFF" w14:textId="77777777" w:rsidR="001F27DD" w:rsidRPr="0095004E" w:rsidRDefault="001F27DD" w:rsidP="006D2DA3">
            <w:pPr>
              <w:jc w:val="center"/>
              <w:rPr>
                <w:i/>
                <w:iCs/>
                <w:color w:val="000000"/>
                <w:sz w:val="20"/>
                <w:szCs w:val="20"/>
              </w:rPr>
            </w:pPr>
            <w:r w:rsidRPr="0095004E">
              <w:rPr>
                <w:i/>
                <w:iCs/>
                <w:color w:val="000000"/>
                <w:sz w:val="20"/>
                <w:szCs w:val="20"/>
              </w:rPr>
              <w:t>HML</w:t>
            </w:r>
          </w:p>
        </w:tc>
        <w:tc>
          <w:tcPr>
            <w:tcW w:w="1300" w:type="dxa"/>
            <w:tcBorders>
              <w:top w:val="single" w:sz="8" w:space="0" w:color="auto"/>
              <w:left w:val="nil"/>
              <w:bottom w:val="single" w:sz="4" w:space="0" w:color="auto"/>
              <w:right w:val="nil"/>
            </w:tcBorders>
            <w:shd w:val="clear" w:color="auto" w:fill="auto"/>
            <w:noWrap/>
            <w:vAlign w:val="bottom"/>
            <w:hideMark/>
          </w:tcPr>
          <w:p w14:paraId="11BC79BC" w14:textId="77777777" w:rsidR="001F27DD" w:rsidRPr="0095004E" w:rsidRDefault="001F27DD" w:rsidP="006D2DA3">
            <w:pPr>
              <w:jc w:val="center"/>
              <w:rPr>
                <w:i/>
                <w:iCs/>
                <w:color w:val="000000"/>
                <w:sz w:val="20"/>
                <w:szCs w:val="20"/>
              </w:rPr>
            </w:pPr>
            <w:r w:rsidRPr="0095004E">
              <w:rPr>
                <w:i/>
                <w:iCs/>
                <w:color w:val="000000"/>
                <w:sz w:val="20"/>
                <w:szCs w:val="20"/>
              </w:rPr>
              <w:t>SMB</w:t>
            </w:r>
          </w:p>
        </w:tc>
        <w:tc>
          <w:tcPr>
            <w:tcW w:w="1540" w:type="dxa"/>
            <w:tcBorders>
              <w:top w:val="single" w:sz="8" w:space="0" w:color="auto"/>
              <w:left w:val="nil"/>
              <w:bottom w:val="single" w:sz="4" w:space="0" w:color="auto"/>
              <w:right w:val="nil"/>
            </w:tcBorders>
            <w:shd w:val="clear" w:color="auto" w:fill="auto"/>
            <w:noWrap/>
            <w:vAlign w:val="bottom"/>
            <w:hideMark/>
          </w:tcPr>
          <w:p w14:paraId="0696CA96" w14:textId="77777777" w:rsidR="001F27DD" w:rsidRPr="0095004E" w:rsidRDefault="001F27DD" w:rsidP="006D2DA3">
            <w:pPr>
              <w:jc w:val="center"/>
              <w:rPr>
                <w:i/>
                <w:iCs/>
                <w:color w:val="000000"/>
                <w:sz w:val="20"/>
                <w:szCs w:val="20"/>
              </w:rPr>
            </w:pPr>
            <w:r w:rsidRPr="0095004E">
              <w:rPr>
                <w:i/>
                <w:iCs/>
                <w:color w:val="000000"/>
                <w:sz w:val="20"/>
                <w:szCs w:val="20"/>
              </w:rPr>
              <w:t>Rm_Rf</w:t>
            </w:r>
          </w:p>
        </w:tc>
      </w:tr>
      <w:tr w:rsidR="001F27DD" w:rsidRPr="00F30121" w14:paraId="28A4DE1C" w14:textId="77777777" w:rsidTr="006D2DA3">
        <w:trPr>
          <w:trHeight w:val="320"/>
        </w:trPr>
        <w:tc>
          <w:tcPr>
            <w:tcW w:w="2580" w:type="dxa"/>
            <w:tcBorders>
              <w:top w:val="nil"/>
              <w:left w:val="nil"/>
              <w:bottom w:val="nil"/>
              <w:right w:val="nil"/>
            </w:tcBorders>
            <w:shd w:val="clear" w:color="auto" w:fill="auto"/>
            <w:noWrap/>
            <w:vAlign w:val="bottom"/>
            <w:hideMark/>
          </w:tcPr>
          <w:p w14:paraId="65A98934" w14:textId="77777777" w:rsidR="001F27DD" w:rsidRPr="0095004E" w:rsidRDefault="001F27DD" w:rsidP="006D2DA3">
            <w:pPr>
              <w:rPr>
                <w:color w:val="000000"/>
                <w:sz w:val="20"/>
                <w:szCs w:val="20"/>
              </w:rPr>
            </w:pPr>
            <w:r w:rsidRPr="0095004E">
              <w:rPr>
                <w:color w:val="000000"/>
                <w:sz w:val="20"/>
                <w:szCs w:val="20"/>
              </w:rPr>
              <w:t>Mean</w:t>
            </w:r>
          </w:p>
        </w:tc>
        <w:tc>
          <w:tcPr>
            <w:tcW w:w="1580" w:type="dxa"/>
            <w:tcBorders>
              <w:top w:val="nil"/>
              <w:left w:val="nil"/>
              <w:bottom w:val="nil"/>
              <w:right w:val="nil"/>
            </w:tcBorders>
            <w:shd w:val="clear" w:color="auto" w:fill="auto"/>
            <w:noWrap/>
            <w:vAlign w:val="bottom"/>
            <w:hideMark/>
          </w:tcPr>
          <w:p w14:paraId="340177E4" w14:textId="77777777" w:rsidR="001F27DD" w:rsidRPr="0095004E" w:rsidRDefault="001F27DD" w:rsidP="006D2DA3">
            <w:pPr>
              <w:jc w:val="right"/>
              <w:rPr>
                <w:color w:val="000000"/>
                <w:sz w:val="20"/>
                <w:szCs w:val="20"/>
              </w:rPr>
            </w:pPr>
            <w:r w:rsidRPr="0095004E">
              <w:rPr>
                <w:color w:val="000000"/>
                <w:sz w:val="20"/>
                <w:szCs w:val="20"/>
              </w:rPr>
              <w:t>1.901041667</w:t>
            </w:r>
          </w:p>
        </w:tc>
        <w:tc>
          <w:tcPr>
            <w:tcW w:w="1540" w:type="dxa"/>
            <w:tcBorders>
              <w:top w:val="nil"/>
              <w:left w:val="nil"/>
              <w:bottom w:val="nil"/>
              <w:right w:val="nil"/>
            </w:tcBorders>
            <w:shd w:val="clear" w:color="auto" w:fill="auto"/>
            <w:noWrap/>
            <w:vAlign w:val="bottom"/>
            <w:hideMark/>
          </w:tcPr>
          <w:p w14:paraId="3761442A" w14:textId="77777777" w:rsidR="001F27DD" w:rsidRPr="0095004E" w:rsidRDefault="001F27DD" w:rsidP="006D2DA3">
            <w:pPr>
              <w:jc w:val="right"/>
              <w:rPr>
                <w:color w:val="000000"/>
                <w:sz w:val="20"/>
                <w:szCs w:val="20"/>
              </w:rPr>
            </w:pPr>
            <w:r w:rsidRPr="0095004E">
              <w:rPr>
                <w:color w:val="000000"/>
                <w:sz w:val="20"/>
                <w:szCs w:val="20"/>
              </w:rPr>
              <w:t>-0.093541667</w:t>
            </w:r>
          </w:p>
        </w:tc>
        <w:tc>
          <w:tcPr>
            <w:tcW w:w="1300" w:type="dxa"/>
            <w:tcBorders>
              <w:top w:val="nil"/>
              <w:left w:val="nil"/>
              <w:bottom w:val="nil"/>
              <w:right w:val="nil"/>
            </w:tcBorders>
            <w:shd w:val="clear" w:color="auto" w:fill="auto"/>
            <w:noWrap/>
            <w:vAlign w:val="bottom"/>
            <w:hideMark/>
          </w:tcPr>
          <w:p w14:paraId="2980CD09" w14:textId="77777777" w:rsidR="001F27DD" w:rsidRPr="0095004E" w:rsidRDefault="001F27DD" w:rsidP="006D2DA3">
            <w:pPr>
              <w:jc w:val="right"/>
              <w:rPr>
                <w:color w:val="000000"/>
                <w:sz w:val="20"/>
                <w:szCs w:val="20"/>
              </w:rPr>
            </w:pPr>
            <w:r w:rsidRPr="0095004E">
              <w:rPr>
                <w:color w:val="000000"/>
                <w:sz w:val="20"/>
                <w:szCs w:val="20"/>
              </w:rPr>
              <w:t>0.709375</w:t>
            </w:r>
          </w:p>
        </w:tc>
        <w:tc>
          <w:tcPr>
            <w:tcW w:w="1540" w:type="dxa"/>
            <w:tcBorders>
              <w:top w:val="nil"/>
              <w:left w:val="nil"/>
              <w:bottom w:val="nil"/>
              <w:right w:val="nil"/>
            </w:tcBorders>
            <w:shd w:val="clear" w:color="auto" w:fill="auto"/>
            <w:noWrap/>
            <w:vAlign w:val="bottom"/>
            <w:hideMark/>
          </w:tcPr>
          <w:p w14:paraId="4D469A93" w14:textId="77777777" w:rsidR="001F27DD" w:rsidRPr="0095004E" w:rsidRDefault="001F27DD" w:rsidP="006D2DA3">
            <w:pPr>
              <w:jc w:val="right"/>
              <w:rPr>
                <w:color w:val="000000"/>
                <w:sz w:val="20"/>
                <w:szCs w:val="20"/>
              </w:rPr>
            </w:pPr>
            <w:r w:rsidRPr="0095004E">
              <w:rPr>
                <w:color w:val="000000"/>
                <w:sz w:val="20"/>
                <w:szCs w:val="20"/>
              </w:rPr>
              <w:t>1.709583333</w:t>
            </w:r>
          </w:p>
        </w:tc>
      </w:tr>
      <w:tr w:rsidR="001F27DD" w:rsidRPr="00F30121" w14:paraId="6D84DFB2" w14:textId="77777777" w:rsidTr="006D2DA3">
        <w:trPr>
          <w:trHeight w:val="320"/>
        </w:trPr>
        <w:tc>
          <w:tcPr>
            <w:tcW w:w="2580" w:type="dxa"/>
            <w:tcBorders>
              <w:top w:val="nil"/>
              <w:left w:val="nil"/>
              <w:bottom w:val="nil"/>
              <w:right w:val="nil"/>
            </w:tcBorders>
            <w:shd w:val="clear" w:color="auto" w:fill="auto"/>
            <w:noWrap/>
            <w:vAlign w:val="bottom"/>
            <w:hideMark/>
          </w:tcPr>
          <w:p w14:paraId="57E99071" w14:textId="77777777" w:rsidR="001F27DD" w:rsidRPr="0095004E" w:rsidRDefault="001F27DD" w:rsidP="006D2DA3">
            <w:pPr>
              <w:rPr>
                <w:color w:val="000000"/>
                <w:sz w:val="20"/>
                <w:szCs w:val="20"/>
              </w:rPr>
            </w:pPr>
            <w:r w:rsidRPr="0095004E">
              <w:rPr>
                <w:color w:val="000000"/>
                <w:sz w:val="20"/>
                <w:szCs w:val="20"/>
              </w:rPr>
              <w:t>Standard Error</w:t>
            </w:r>
          </w:p>
        </w:tc>
        <w:tc>
          <w:tcPr>
            <w:tcW w:w="1580" w:type="dxa"/>
            <w:tcBorders>
              <w:top w:val="nil"/>
              <w:left w:val="nil"/>
              <w:bottom w:val="nil"/>
              <w:right w:val="nil"/>
            </w:tcBorders>
            <w:shd w:val="clear" w:color="auto" w:fill="auto"/>
            <w:noWrap/>
            <w:vAlign w:val="bottom"/>
            <w:hideMark/>
          </w:tcPr>
          <w:p w14:paraId="365728B3" w14:textId="77777777" w:rsidR="001F27DD" w:rsidRPr="0095004E" w:rsidRDefault="001F27DD" w:rsidP="006D2DA3">
            <w:pPr>
              <w:jc w:val="right"/>
              <w:rPr>
                <w:color w:val="000000"/>
                <w:sz w:val="20"/>
                <w:szCs w:val="20"/>
              </w:rPr>
            </w:pPr>
            <w:r w:rsidRPr="0095004E">
              <w:rPr>
                <w:color w:val="000000"/>
                <w:sz w:val="20"/>
                <w:szCs w:val="20"/>
              </w:rPr>
              <w:t>1.044806606</w:t>
            </w:r>
          </w:p>
        </w:tc>
        <w:tc>
          <w:tcPr>
            <w:tcW w:w="1540" w:type="dxa"/>
            <w:tcBorders>
              <w:top w:val="nil"/>
              <w:left w:val="nil"/>
              <w:bottom w:val="nil"/>
              <w:right w:val="nil"/>
            </w:tcBorders>
            <w:shd w:val="clear" w:color="auto" w:fill="auto"/>
            <w:noWrap/>
            <w:vAlign w:val="bottom"/>
            <w:hideMark/>
          </w:tcPr>
          <w:p w14:paraId="48C13936" w14:textId="77777777" w:rsidR="001F27DD" w:rsidRPr="0095004E" w:rsidRDefault="001F27DD" w:rsidP="006D2DA3">
            <w:pPr>
              <w:jc w:val="right"/>
              <w:rPr>
                <w:color w:val="000000"/>
                <w:sz w:val="20"/>
                <w:szCs w:val="20"/>
              </w:rPr>
            </w:pPr>
            <w:r w:rsidRPr="0095004E">
              <w:rPr>
                <w:color w:val="000000"/>
                <w:sz w:val="20"/>
                <w:szCs w:val="20"/>
              </w:rPr>
              <w:t>0.316364768</w:t>
            </w:r>
          </w:p>
        </w:tc>
        <w:tc>
          <w:tcPr>
            <w:tcW w:w="1300" w:type="dxa"/>
            <w:tcBorders>
              <w:top w:val="nil"/>
              <w:left w:val="nil"/>
              <w:bottom w:val="nil"/>
              <w:right w:val="nil"/>
            </w:tcBorders>
            <w:shd w:val="clear" w:color="auto" w:fill="auto"/>
            <w:noWrap/>
            <w:vAlign w:val="bottom"/>
            <w:hideMark/>
          </w:tcPr>
          <w:p w14:paraId="37BCB2D2" w14:textId="77777777" w:rsidR="001F27DD" w:rsidRPr="0095004E" w:rsidRDefault="001F27DD" w:rsidP="006D2DA3">
            <w:pPr>
              <w:jc w:val="right"/>
              <w:rPr>
                <w:color w:val="000000"/>
                <w:sz w:val="20"/>
                <w:szCs w:val="20"/>
              </w:rPr>
            </w:pPr>
            <w:r w:rsidRPr="0095004E">
              <w:rPr>
                <w:color w:val="000000"/>
                <w:sz w:val="20"/>
                <w:szCs w:val="20"/>
              </w:rPr>
              <w:t>0.47683144</w:t>
            </w:r>
          </w:p>
        </w:tc>
        <w:tc>
          <w:tcPr>
            <w:tcW w:w="1540" w:type="dxa"/>
            <w:tcBorders>
              <w:top w:val="nil"/>
              <w:left w:val="nil"/>
              <w:bottom w:val="nil"/>
              <w:right w:val="nil"/>
            </w:tcBorders>
            <w:shd w:val="clear" w:color="auto" w:fill="auto"/>
            <w:noWrap/>
            <w:vAlign w:val="bottom"/>
            <w:hideMark/>
          </w:tcPr>
          <w:p w14:paraId="5D24F2D6" w14:textId="77777777" w:rsidR="001F27DD" w:rsidRPr="0095004E" w:rsidRDefault="001F27DD" w:rsidP="006D2DA3">
            <w:pPr>
              <w:jc w:val="right"/>
              <w:rPr>
                <w:color w:val="000000"/>
                <w:sz w:val="20"/>
                <w:szCs w:val="20"/>
              </w:rPr>
            </w:pPr>
            <w:r w:rsidRPr="0095004E">
              <w:rPr>
                <w:color w:val="000000"/>
                <w:sz w:val="20"/>
                <w:szCs w:val="20"/>
              </w:rPr>
              <w:t>1.046079312</w:t>
            </w:r>
          </w:p>
        </w:tc>
      </w:tr>
      <w:tr w:rsidR="001F27DD" w:rsidRPr="00F30121" w14:paraId="6C502004" w14:textId="77777777" w:rsidTr="006D2DA3">
        <w:trPr>
          <w:trHeight w:val="320"/>
        </w:trPr>
        <w:tc>
          <w:tcPr>
            <w:tcW w:w="2580" w:type="dxa"/>
            <w:tcBorders>
              <w:top w:val="nil"/>
              <w:left w:val="nil"/>
              <w:bottom w:val="nil"/>
              <w:right w:val="nil"/>
            </w:tcBorders>
            <w:shd w:val="clear" w:color="auto" w:fill="auto"/>
            <w:noWrap/>
            <w:vAlign w:val="bottom"/>
            <w:hideMark/>
          </w:tcPr>
          <w:p w14:paraId="1D869558" w14:textId="77777777" w:rsidR="001F27DD" w:rsidRPr="0095004E" w:rsidRDefault="001F27DD" w:rsidP="006D2DA3">
            <w:pPr>
              <w:rPr>
                <w:color w:val="000000"/>
                <w:sz w:val="20"/>
                <w:szCs w:val="20"/>
              </w:rPr>
            </w:pPr>
            <w:r w:rsidRPr="0095004E">
              <w:rPr>
                <w:color w:val="000000"/>
                <w:sz w:val="20"/>
                <w:szCs w:val="20"/>
              </w:rPr>
              <w:t>Median</w:t>
            </w:r>
          </w:p>
        </w:tc>
        <w:tc>
          <w:tcPr>
            <w:tcW w:w="1580" w:type="dxa"/>
            <w:tcBorders>
              <w:top w:val="nil"/>
              <w:left w:val="nil"/>
              <w:bottom w:val="nil"/>
              <w:right w:val="nil"/>
            </w:tcBorders>
            <w:shd w:val="clear" w:color="auto" w:fill="auto"/>
            <w:noWrap/>
            <w:vAlign w:val="bottom"/>
            <w:hideMark/>
          </w:tcPr>
          <w:p w14:paraId="4F1C172D" w14:textId="77777777" w:rsidR="001F27DD" w:rsidRPr="0095004E" w:rsidRDefault="001F27DD" w:rsidP="006D2DA3">
            <w:pPr>
              <w:jc w:val="right"/>
              <w:rPr>
                <w:color w:val="000000"/>
                <w:sz w:val="20"/>
                <w:szCs w:val="20"/>
              </w:rPr>
            </w:pPr>
            <w:r w:rsidRPr="0095004E">
              <w:rPr>
                <w:color w:val="000000"/>
                <w:sz w:val="20"/>
                <w:szCs w:val="20"/>
              </w:rPr>
              <w:t>2.005</w:t>
            </w:r>
          </w:p>
        </w:tc>
        <w:tc>
          <w:tcPr>
            <w:tcW w:w="1540" w:type="dxa"/>
            <w:tcBorders>
              <w:top w:val="nil"/>
              <w:left w:val="nil"/>
              <w:bottom w:val="nil"/>
              <w:right w:val="nil"/>
            </w:tcBorders>
            <w:shd w:val="clear" w:color="auto" w:fill="auto"/>
            <w:noWrap/>
            <w:vAlign w:val="bottom"/>
            <w:hideMark/>
          </w:tcPr>
          <w:p w14:paraId="03B1FAC2" w14:textId="77777777" w:rsidR="001F27DD" w:rsidRPr="0095004E" w:rsidRDefault="001F27DD" w:rsidP="006D2DA3">
            <w:pPr>
              <w:jc w:val="right"/>
              <w:rPr>
                <w:color w:val="000000"/>
                <w:sz w:val="20"/>
                <w:szCs w:val="20"/>
              </w:rPr>
            </w:pPr>
            <w:r w:rsidRPr="0095004E">
              <w:rPr>
                <w:color w:val="000000"/>
                <w:sz w:val="20"/>
                <w:szCs w:val="20"/>
              </w:rPr>
              <w:t>-0.01</w:t>
            </w:r>
          </w:p>
        </w:tc>
        <w:tc>
          <w:tcPr>
            <w:tcW w:w="1300" w:type="dxa"/>
            <w:tcBorders>
              <w:top w:val="nil"/>
              <w:left w:val="nil"/>
              <w:bottom w:val="nil"/>
              <w:right w:val="nil"/>
            </w:tcBorders>
            <w:shd w:val="clear" w:color="auto" w:fill="auto"/>
            <w:noWrap/>
            <w:vAlign w:val="bottom"/>
            <w:hideMark/>
          </w:tcPr>
          <w:p w14:paraId="5DED9D0C" w14:textId="77777777" w:rsidR="001F27DD" w:rsidRPr="0095004E" w:rsidRDefault="001F27DD" w:rsidP="006D2DA3">
            <w:pPr>
              <w:jc w:val="right"/>
              <w:rPr>
                <w:color w:val="000000"/>
                <w:sz w:val="20"/>
                <w:szCs w:val="20"/>
              </w:rPr>
            </w:pPr>
            <w:r w:rsidRPr="0095004E">
              <w:rPr>
                <w:color w:val="000000"/>
                <w:sz w:val="20"/>
                <w:szCs w:val="20"/>
              </w:rPr>
              <w:t>0.785</w:t>
            </w:r>
          </w:p>
        </w:tc>
        <w:tc>
          <w:tcPr>
            <w:tcW w:w="1540" w:type="dxa"/>
            <w:tcBorders>
              <w:top w:val="nil"/>
              <w:left w:val="nil"/>
              <w:bottom w:val="nil"/>
              <w:right w:val="nil"/>
            </w:tcBorders>
            <w:shd w:val="clear" w:color="auto" w:fill="auto"/>
            <w:noWrap/>
            <w:vAlign w:val="bottom"/>
            <w:hideMark/>
          </w:tcPr>
          <w:p w14:paraId="7FAEB484" w14:textId="77777777" w:rsidR="001F27DD" w:rsidRPr="0095004E" w:rsidRDefault="001F27DD" w:rsidP="006D2DA3">
            <w:pPr>
              <w:jc w:val="right"/>
              <w:rPr>
                <w:color w:val="000000"/>
                <w:sz w:val="20"/>
                <w:szCs w:val="20"/>
              </w:rPr>
            </w:pPr>
            <w:r w:rsidRPr="0095004E">
              <w:rPr>
                <w:color w:val="000000"/>
                <w:sz w:val="20"/>
                <w:szCs w:val="20"/>
              </w:rPr>
              <w:t>1.83</w:t>
            </w:r>
          </w:p>
        </w:tc>
      </w:tr>
      <w:tr w:rsidR="001F27DD" w:rsidRPr="00F30121" w14:paraId="23A7D1B4" w14:textId="77777777" w:rsidTr="006D2DA3">
        <w:trPr>
          <w:trHeight w:val="320"/>
        </w:trPr>
        <w:tc>
          <w:tcPr>
            <w:tcW w:w="2580" w:type="dxa"/>
            <w:tcBorders>
              <w:top w:val="nil"/>
              <w:left w:val="nil"/>
              <w:bottom w:val="nil"/>
              <w:right w:val="nil"/>
            </w:tcBorders>
            <w:shd w:val="clear" w:color="auto" w:fill="auto"/>
            <w:noWrap/>
            <w:vAlign w:val="bottom"/>
            <w:hideMark/>
          </w:tcPr>
          <w:p w14:paraId="58E9213A" w14:textId="77777777" w:rsidR="001F27DD" w:rsidRPr="0095004E" w:rsidRDefault="001F27DD" w:rsidP="006D2DA3">
            <w:pPr>
              <w:rPr>
                <w:color w:val="000000"/>
                <w:sz w:val="20"/>
                <w:szCs w:val="20"/>
              </w:rPr>
            </w:pPr>
            <w:r w:rsidRPr="0095004E">
              <w:rPr>
                <w:color w:val="000000"/>
                <w:sz w:val="20"/>
                <w:szCs w:val="20"/>
              </w:rPr>
              <w:t>Mode</w:t>
            </w:r>
          </w:p>
        </w:tc>
        <w:tc>
          <w:tcPr>
            <w:tcW w:w="1580" w:type="dxa"/>
            <w:tcBorders>
              <w:top w:val="nil"/>
              <w:left w:val="nil"/>
              <w:bottom w:val="nil"/>
              <w:right w:val="nil"/>
            </w:tcBorders>
            <w:shd w:val="clear" w:color="auto" w:fill="auto"/>
            <w:noWrap/>
            <w:vAlign w:val="bottom"/>
            <w:hideMark/>
          </w:tcPr>
          <w:p w14:paraId="02AC9DF1" w14:textId="77777777" w:rsidR="001F27DD" w:rsidRPr="0095004E" w:rsidRDefault="001F27DD" w:rsidP="006D2DA3">
            <w:pPr>
              <w:jc w:val="right"/>
              <w:rPr>
                <w:color w:val="000000"/>
                <w:sz w:val="20"/>
                <w:szCs w:val="20"/>
              </w:rPr>
            </w:pPr>
            <w:r w:rsidRPr="0095004E">
              <w:rPr>
                <w:color w:val="000000"/>
                <w:sz w:val="20"/>
                <w:szCs w:val="20"/>
              </w:rPr>
              <w:t>4.8</w:t>
            </w:r>
          </w:p>
        </w:tc>
        <w:tc>
          <w:tcPr>
            <w:tcW w:w="1540" w:type="dxa"/>
            <w:tcBorders>
              <w:top w:val="nil"/>
              <w:left w:val="nil"/>
              <w:bottom w:val="nil"/>
              <w:right w:val="nil"/>
            </w:tcBorders>
            <w:shd w:val="clear" w:color="auto" w:fill="auto"/>
            <w:noWrap/>
            <w:vAlign w:val="bottom"/>
            <w:hideMark/>
          </w:tcPr>
          <w:p w14:paraId="3333E14C" w14:textId="77777777" w:rsidR="001F27DD" w:rsidRPr="0095004E" w:rsidRDefault="001F27DD" w:rsidP="006D2DA3">
            <w:pPr>
              <w:jc w:val="right"/>
              <w:rPr>
                <w:color w:val="000000"/>
                <w:sz w:val="20"/>
                <w:szCs w:val="20"/>
              </w:rPr>
            </w:pPr>
            <w:r w:rsidRPr="0095004E">
              <w:rPr>
                <w:color w:val="000000"/>
                <w:sz w:val="20"/>
                <w:szCs w:val="20"/>
              </w:rPr>
              <w:t>-0.16</w:t>
            </w:r>
          </w:p>
        </w:tc>
        <w:tc>
          <w:tcPr>
            <w:tcW w:w="1300" w:type="dxa"/>
            <w:tcBorders>
              <w:top w:val="nil"/>
              <w:left w:val="nil"/>
              <w:bottom w:val="nil"/>
              <w:right w:val="nil"/>
            </w:tcBorders>
            <w:shd w:val="clear" w:color="auto" w:fill="auto"/>
            <w:noWrap/>
            <w:vAlign w:val="bottom"/>
            <w:hideMark/>
          </w:tcPr>
          <w:p w14:paraId="6856E3AC" w14:textId="77777777" w:rsidR="001F27DD" w:rsidRPr="0095004E" w:rsidRDefault="001F27DD" w:rsidP="006D2DA3">
            <w:pPr>
              <w:jc w:val="right"/>
              <w:rPr>
                <w:color w:val="000000"/>
                <w:sz w:val="20"/>
                <w:szCs w:val="20"/>
              </w:rPr>
            </w:pPr>
            <w:r w:rsidRPr="0095004E">
              <w:rPr>
                <w:color w:val="000000"/>
                <w:sz w:val="20"/>
                <w:szCs w:val="20"/>
              </w:rPr>
              <w:t>3.16</w:t>
            </w:r>
          </w:p>
        </w:tc>
        <w:tc>
          <w:tcPr>
            <w:tcW w:w="1540" w:type="dxa"/>
            <w:tcBorders>
              <w:top w:val="nil"/>
              <w:left w:val="nil"/>
              <w:bottom w:val="nil"/>
              <w:right w:val="nil"/>
            </w:tcBorders>
            <w:shd w:val="clear" w:color="auto" w:fill="auto"/>
            <w:noWrap/>
            <w:vAlign w:val="bottom"/>
            <w:hideMark/>
          </w:tcPr>
          <w:p w14:paraId="68691DC4" w14:textId="77777777" w:rsidR="001F27DD" w:rsidRPr="0095004E" w:rsidRDefault="001F27DD" w:rsidP="006D2DA3">
            <w:pPr>
              <w:jc w:val="right"/>
              <w:rPr>
                <w:color w:val="000000"/>
                <w:sz w:val="20"/>
                <w:szCs w:val="20"/>
              </w:rPr>
            </w:pPr>
            <w:r w:rsidRPr="0095004E">
              <w:rPr>
                <w:color w:val="000000"/>
                <w:sz w:val="20"/>
                <w:szCs w:val="20"/>
              </w:rPr>
              <w:t>-0.12</w:t>
            </w:r>
          </w:p>
        </w:tc>
      </w:tr>
      <w:tr w:rsidR="001F27DD" w:rsidRPr="00F30121" w14:paraId="0B1E6C16" w14:textId="77777777" w:rsidTr="006D2DA3">
        <w:trPr>
          <w:trHeight w:val="320"/>
        </w:trPr>
        <w:tc>
          <w:tcPr>
            <w:tcW w:w="2580" w:type="dxa"/>
            <w:tcBorders>
              <w:top w:val="nil"/>
              <w:left w:val="nil"/>
              <w:bottom w:val="nil"/>
              <w:right w:val="nil"/>
            </w:tcBorders>
            <w:shd w:val="clear" w:color="auto" w:fill="auto"/>
            <w:noWrap/>
            <w:vAlign w:val="bottom"/>
            <w:hideMark/>
          </w:tcPr>
          <w:p w14:paraId="7824B6A3" w14:textId="77777777" w:rsidR="001F27DD" w:rsidRPr="0095004E" w:rsidRDefault="001F27DD" w:rsidP="006D2DA3">
            <w:pPr>
              <w:rPr>
                <w:color w:val="000000"/>
                <w:sz w:val="20"/>
                <w:szCs w:val="20"/>
              </w:rPr>
            </w:pPr>
            <w:r w:rsidRPr="0095004E">
              <w:rPr>
                <w:color w:val="000000"/>
                <w:sz w:val="20"/>
                <w:szCs w:val="20"/>
              </w:rPr>
              <w:t>Standard Deviation</w:t>
            </w:r>
          </w:p>
        </w:tc>
        <w:tc>
          <w:tcPr>
            <w:tcW w:w="1580" w:type="dxa"/>
            <w:tcBorders>
              <w:top w:val="nil"/>
              <w:left w:val="nil"/>
              <w:bottom w:val="nil"/>
              <w:right w:val="nil"/>
            </w:tcBorders>
            <w:shd w:val="clear" w:color="auto" w:fill="auto"/>
            <w:noWrap/>
            <w:vAlign w:val="bottom"/>
            <w:hideMark/>
          </w:tcPr>
          <w:p w14:paraId="337F79A9" w14:textId="77777777" w:rsidR="001F27DD" w:rsidRPr="0095004E" w:rsidRDefault="001F27DD" w:rsidP="006D2DA3">
            <w:pPr>
              <w:jc w:val="right"/>
              <w:rPr>
                <w:color w:val="000000"/>
                <w:sz w:val="20"/>
                <w:szCs w:val="20"/>
              </w:rPr>
            </w:pPr>
            <w:r w:rsidRPr="0095004E">
              <w:rPr>
                <w:color w:val="000000"/>
                <w:sz w:val="20"/>
                <w:szCs w:val="20"/>
              </w:rPr>
              <w:t>10.23697226</w:t>
            </w:r>
          </w:p>
        </w:tc>
        <w:tc>
          <w:tcPr>
            <w:tcW w:w="1540" w:type="dxa"/>
            <w:tcBorders>
              <w:top w:val="nil"/>
              <w:left w:val="nil"/>
              <w:bottom w:val="nil"/>
              <w:right w:val="nil"/>
            </w:tcBorders>
            <w:shd w:val="clear" w:color="auto" w:fill="auto"/>
            <w:noWrap/>
            <w:vAlign w:val="bottom"/>
            <w:hideMark/>
          </w:tcPr>
          <w:p w14:paraId="3C6B1858" w14:textId="77777777" w:rsidR="001F27DD" w:rsidRPr="0095004E" w:rsidRDefault="001F27DD" w:rsidP="006D2DA3">
            <w:pPr>
              <w:jc w:val="right"/>
              <w:rPr>
                <w:color w:val="000000"/>
                <w:sz w:val="20"/>
                <w:szCs w:val="20"/>
              </w:rPr>
            </w:pPr>
            <w:r w:rsidRPr="0095004E">
              <w:rPr>
                <w:color w:val="000000"/>
                <w:sz w:val="20"/>
                <w:szCs w:val="20"/>
              </w:rPr>
              <w:t>3.099729013</w:t>
            </w:r>
          </w:p>
        </w:tc>
        <w:tc>
          <w:tcPr>
            <w:tcW w:w="1300" w:type="dxa"/>
            <w:tcBorders>
              <w:top w:val="nil"/>
              <w:left w:val="nil"/>
              <w:bottom w:val="nil"/>
              <w:right w:val="nil"/>
            </w:tcBorders>
            <w:shd w:val="clear" w:color="auto" w:fill="auto"/>
            <w:noWrap/>
            <w:vAlign w:val="bottom"/>
            <w:hideMark/>
          </w:tcPr>
          <w:p w14:paraId="7391BA89" w14:textId="77777777" w:rsidR="001F27DD" w:rsidRPr="0095004E" w:rsidRDefault="001F27DD" w:rsidP="006D2DA3">
            <w:pPr>
              <w:jc w:val="right"/>
              <w:rPr>
                <w:color w:val="000000"/>
                <w:sz w:val="20"/>
                <w:szCs w:val="20"/>
              </w:rPr>
            </w:pPr>
            <w:r w:rsidRPr="0095004E">
              <w:rPr>
                <w:color w:val="000000"/>
                <w:sz w:val="20"/>
                <w:szCs w:val="20"/>
              </w:rPr>
              <w:t>4.67197486</w:t>
            </w:r>
          </w:p>
        </w:tc>
        <w:tc>
          <w:tcPr>
            <w:tcW w:w="1540" w:type="dxa"/>
            <w:tcBorders>
              <w:top w:val="nil"/>
              <w:left w:val="nil"/>
              <w:bottom w:val="nil"/>
              <w:right w:val="nil"/>
            </w:tcBorders>
            <w:shd w:val="clear" w:color="auto" w:fill="auto"/>
            <w:noWrap/>
            <w:vAlign w:val="bottom"/>
            <w:hideMark/>
          </w:tcPr>
          <w:p w14:paraId="38AE206B" w14:textId="77777777" w:rsidR="001F27DD" w:rsidRPr="0095004E" w:rsidRDefault="001F27DD" w:rsidP="006D2DA3">
            <w:pPr>
              <w:jc w:val="right"/>
              <w:rPr>
                <w:color w:val="000000"/>
                <w:sz w:val="20"/>
                <w:szCs w:val="20"/>
              </w:rPr>
            </w:pPr>
            <w:r w:rsidRPr="0095004E">
              <w:rPr>
                <w:color w:val="000000"/>
                <w:sz w:val="20"/>
                <w:szCs w:val="20"/>
              </w:rPr>
              <w:t>10.24944218</w:t>
            </w:r>
          </w:p>
        </w:tc>
      </w:tr>
      <w:tr w:rsidR="001F27DD" w:rsidRPr="00F30121" w14:paraId="4A14FD5F" w14:textId="77777777" w:rsidTr="006D2DA3">
        <w:trPr>
          <w:trHeight w:val="320"/>
        </w:trPr>
        <w:tc>
          <w:tcPr>
            <w:tcW w:w="2580" w:type="dxa"/>
            <w:tcBorders>
              <w:top w:val="nil"/>
              <w:left w:val="nil"/>
              <w:bottom w:val="nil"/>
              <w:right w:val="nil"/>
            </w:tcBorders>
            <w:shd w:val="clear" w:color="auto" w:fill="auto"/>
            <w:noWrap/>
            <w:vAlign w:val="bottom"/>
            <w:hideMark/>
          </w:tcPr>
          <w:p w14:paraId="292538D9" w14:textId="77777777" w:rsidR="001F27DD" w:rsidRPr="0095004E" w:rsidRDefault="001F27DD" w:rsidP="006D2DA3">
            <w:pPr>
              <w:rPr>
                <w:color w:val="000000"/>
                <w:sz w:val="20"/>
                <w:szCs w:val="20"/>
              </w:rPr>
            </w:pPr>
            <w:r w:rsidRPr="0095004E">
              <w:rPr>
                <w:color w:val="000000"/>
                <w:sz w:val="20"/>
                <w:szCs w:val="20"/>
              </w:rPr>
              <w:t>Sample Variance</w:t>
            </w:r>
          </w:p>
        </w:tc>
        <w:tc>
          <w:tcPr>
            <w:tcW w:w="1580" w:type="dxa"/>
            <w:tcBorders>
              <w:top w:val="nil"/>
              <w:left w:val="nil"/>
              <w:bottom w:val="nil"/>
              <w:right w:val="nil"/>
            </w:tcBorders>
            <w:shd w:val="clear" w:color="auto" w:fill="auto"/>
            <w:noWrap/>
            <w:vAlign w:val="bottom"/>
            <w:hideMark/>
          </w:tcPr>
          <w:p w14:paraId="1402A0CC" w14:textId="77777777" w:rsidR="001F27DD" w:rsidRPr="0095004E" w:rsidRDefault="001F27DD" w:rsidP="006D2DA3">
            <w:pPr>
              <w:jc w:val="right"/>
              <w:rPr>
                <w:color w:val="000000"/>
                <w:sz w:val="20"/>
                <w:szCs w:val="20"/>
              </w:rPr>
            </w:pPr>
            <w:r w:rsidRPr="0095004E">
              <w:rPr>
                <w:color w:val="000000"/>
                <w:sz w:val="20"/>
                <w:szCs w:val="20"/>
              </w:rPr>
              <w:t>104.795601</w:t>
            </w:r>
          </w:p>
        </w:tc>
        <w:tc>
          <w:tcPr>
            <w:tcW w:w="1540" w:type="dxa"/>
            <w:tcBorders>
              <w:top w:val="nil"/>
              <w:left w:val="nil"/>
              <w:bottom w:val="nil"/>
              <w:right w:val="nil"/>
            </w:tcBorders>
            <w:shd w:val="clear" w:color="auto" w:fill="auto"/>
            <w:noWrap/>
            <w:vAlign w:val="bottom"/>
            <w:hideMark/>
          </w:tcPr>
          <w:p w14:paraId="43DF5BEB" w14:textId="77777777" w:rsidR="001F27DD" w:rsidRPr="0095004E" w:rsidRDefault="001F27DD" w:rsidP="006D2DA3">
            <w:pPr>
              <w:jc w:val="right"/>
              <w:rPr>
                <w:color w:val="000000"/>
                <w:sz w:val="20"/>
                <w:szCs w:val="20"/>
              </w:rPr>
            </w:pPr>
            <w:r w:rsidRPr="0095004E">
              <w:rPr>
                <w:color w:val="000000"/>
                <w:sz w:val="20"/>
                <w:szCs w:val="20"/>
              </w:rPr>
              <w:t>9.608319956</w:t>
            </w:r>
          </w:p>
        </w:tc>
        <w:tc>
          <w:tcPr>
            <w:tcW w:w="1300" w:type="dxa"/>
            <w:tcBorders>
              <w:top w:val="nil"/>
              <w:left w:val="nil"/>
              <w:bottom w:val="nil"/>
              <w:right w:val="nil"/>
            </w:tcBorders>
            <w:shd w:val="clear" w:color="auto" w:fill="auto"/>
            <w:noWrap/>
            <w:vAlign w:val="bottom"/>
            <w:hideMark/>
          </w:tcPr>
          <w:p w14:paraId="6AD62DD8" w14:textId="77777777" w:rsidR="001F27DD" w:rsidRPr="0095004E" w:rsidRDefault="001F27DD" w:rsidP="006D2DA3">
            <w:pPr>
              <w:jc w:val="right"/>
              <w:rPr>
                <w:color w:val="000000"/>
                <w:sz w:val="20"/>
                <w:szCs w:val="20"/>
              </w:rPr>
            </w:pPr>
            <w:r w:rsidRPr="0095004E">
              <w:rPr>
                <w:color w:val="000000"/>
                <w:sz w:val="20"/>
                <w:szCs w:val="20"/>
              </w:rPr>
              <w:t>21.8273491</w:t>
            </w:r>
          </w:p>
        </w:tc>
        <w:tc>
          <w:tcPr>
            <w:tcW w:w="1540" w:type="dxa"/>
            <w:tcBorders>
              <w:top w:val="nil"/>
              <w:left w:val="nil"/>
              <w:bottom w:val="nil"/>
              <w:right w:val="nil"/>
            </w:tcBorders>
            <w:shd w:val="clear" w:color="auto" w:fill="auto"/>
            <w:noWrap/>
            <w:vAlign w:val="bottom"/>
            <w:hideMark/>
          </w:tcPr>
          <w:p w14:paraId="35A9B1C1" w14:textId="77777777" w:rsidR="001F27DD" w:rsidRPr="0095004E" w:rsidRDefault="001F27DD" w:rsidP="006D2DA3">
            <w:pPr>
              <w:jc w:val="right"/>
              <w:rPr>
                <w:color w:val="000000"/>
                <w:sz w:val="20"/>
                <w:szCs w:val="20"/>
              </w:rPr>
            </w:pPr>
            <w:r w:rsidRPr="0095004E">
              <w:rPr>
                <w:color w:val="000000"/>
                <w:sz w:val="20"/>
                <w:szCs w:val="20"/>
              </w:rPr>
              <w:t>105.0510651</w:t>
            </w:r>
          </w:p>
        </w:tc>
      </w:tr>
      <w:tr w:rsidR="001F27DD" w:rsidRPr="00F30121" w14:paraId="58B3F597" w14:textId="77777777" w:rsidTr="006D2DA3">
        <w:trPr>
          <w:trHeight w:val="320"/>
        </w:trPr>
        <w:tc>
          <w:tcPr>
            <w:tcW w:w="2580" w:type="dxa"/>
            <w:tcBorders>
              <w:top w:val="nil"/>
              <w:left w:val="nil"/>
              <w:bottom w:val="nil"/>
              <w:right w:val="nil"/>
            </w:tcBorders>
            <w:shd w:val="clear" w:color="auto" w:fill="auto"/>
            <w:noWrap/>
            <w:vAlign w:val="bottom"/>
            <w:hideMark/>
          </w:tcPr>
          <w:p w14:paraId="2249118F" w14:textId="77777777" w:rsidR="001F27DD" w:rsidRPr="0095004E" w:rsidRDefault="001F27DD" w:rsidP="006D2DA3">
            <w:pPr>
              <w:rPr>
                <w:color w:val="000000"/>
                <w:sz w:val="20"/>
                <w:szCs w:val="20"/>
              </w:rPr>
            </w:pPr>
            <w:r w:rsidRPr="0095004E">
              <w:rPr>
                <w:color w:val="000000"/>
                <w:sz w:val="20"/>
                <w:szCs w:val="20"/>
              </w:rPr>
              <w:t>Kurtosis</w:t>
            </w:r>
          </w:p>
        </w:tc>
        <w:tc>
          <w:tcPr>
            <w:tcW w:w="1580" w:type="dxa"/>
            <w:tcBorders>
              <w:top w:val="nil"/>
              <w:left w:val="nil"/>
              <w:bottom w:val="nil"/>
              <w:right w:val="nil"/>
            </w:tcBorders>
            <w:shd w:val="clear" w:color="auto" w:fill="auto"/>
            <w:noWrap/>
            <w:vAlign w:val="bottom"/>
            <w:hideMark/>
          </w:tcPr>
          <w:p w14:paraId="683371F0" w14:textId="77777777" w:rsidR="001F27DD" w:rsidRPr="0095004E" w:rsidRDefault="001F27DD" w:rsidP="006D2DA3">
            <w:pPr>
              <w:jc w:val="right"/>
              <w:rPr>
                <w:color w:val="000000"/>
                <w:sz w:val="20"/>
                <w:szCs w:val="20"/>
              </w:rPr>
            </w:pPr>
            <w:r w:rsidRPr="0095004E">
              <w:rPr>
                <w:color w:val="000000"/>
                <w:sz w:val="20"/>
                <w:szCs w:val="20"/>
              </w:rPr>
              <w:t>0.268205261</w:t>
            </w:r>
          </w:p>
        </w:tc>
        <w:tc>
          <w:tcPr>
            <w:tcW w:w="1540" w:type="dxa"/>
            <w:tcBorders>
              <w:top w:val="nil"/>
              <w:left w:val="nil"/>
              <w:bottom w:val="nil"/>
              <w:right w:val="nil"/>
            </w:tcBorders>
            <w:shd w:val="clear" w:color="auto" w:fill="auto"/>
            <w:noWrap/>
            <w:vAlign w:val="bottom"/>
            <w:hideMark/>
          </w:tcPr>
          <w:p w14:paraId="18A6FFF9" w14:textId="77777777" w:rsidR="001F27DD" w:rsidRPr="0095004E" w:rsidRDefault="001F27DD" w:rsidP="006D2DA3">
            <w:pPr>
              <w:jc w:val="right"/>
              <w:rPr>
                <w:color w:val="000000"/>
                <w:sz w:val="20"/>
                <w:szCs w:val="20"/>
              </w:rPr>
            </w:pPr>
            <w:r w:rsidRPr="0095004E">
              <w:rPr>
                <w:color w:val="000000"/>
                <w:sz w:val="20"/>
                <w:szCs w:val="20"/>
              </w:rPr>
              <w:t>0.19597301</w:t>
            </w:r>
          </w:p>
        </w:tc>
        <w:tc>
          <w:tcPr>
            <w:tcW w:w="1300" w:type="dxa"/>
            <w:tcBorders>
              <w:top w:val="nil"/>
              <w:left w:val="nil"/>
              <w:bottom w:val="nil"/>
              <w:right w:val="nil"/>
            </w:tcBorders>
            <w:shd w:val="clear" w:color="auto" w:fill="auto"/>
            <w:noWrap/>
            <w:vAlign w:val="bottom"/>
            <w:hideMark/>
          </w:tcPr>
          <w:p w14:paraId="59B6A9A1" w14:textId="77777777" w:rsidR="001F27DD" w:rsidRPr="0095004E" w:rsidRDefault="001F27DD" w:rsidP="006D2DA3">
            <w:pPr>
              <w:jc w:val="right"/>
              <w:rPr>
                <w:color w:val="000000"/>
                <w:sz w:val="20"/>
                <w:szCs w:val="20"/>
              </w:rPr>
            </w:pPr>
            <w:r w:rsidRPr="0095004E">
              <w:rPr>
                <w:color w:val="000000"/>
                <w:sz w:val="20"/>
                <w:szCs w:val="20"/>
              </w:rPr>
              <w:t>0.01154939</w:t>
            </w:r>
          </w:p>
        </w:tc>
        <w:tc>
          <w:tcPr>
            <w:tcW w:w="1540" w:type="dxa"/>
            <w:tcBorders>
              <w:top w:val="nil"/>
              <w:left w:val="nil"/>
              <w:bottom w:val="nil"/>
              <w:right w:val="nil"/>
            </w:tcBorders>
            <w:shd w:val="clear" w:color="auto" w:fill="auto"/>
            <w:noWrap/>
            <w:vAlign w:val="bottom"/>
            <w:hideMark/>
          </w:tcPr>
          <w:p w14:paraId="4F966BD7" w14:textId="77777777" w:rsidR="001F27DD" w:rsidRPr="0095004E" w:rsidRDefault="001F27DD" w:rsidP="006D2DA3">
            <w:pPr>
              <w:jc w:val="right"/>
              <w:rPr>
                <w:color w:val="000000"/>
                <w:sz w:val="20"/>
                <w:szCs w:val="20"/>
              </w:rPr>
            </w:pPr>
            <w:r w:rsidRPr="0095004E">
              <w:rPr>
                <w:color w:val="000000"/>
                <w:sz w:val="20"/>
                <w:szCs w:val="20"/>
              </w:rPr>
              <w:t>0.264082707</w:t>
            </w:r>
          </w:p>
        </w:tc>
      </w:tr>
      <w:tr w:rsidR="001F27DD" w:rsidRPr="00F30121" w14:paraId="5DEAB974" w14:textId="77777777" w:rsidTr="006D2DA3">
        <w:trPr>
          <w:trHeight w:val="320"/>
        </w:trPr>
        <w:tc>
          <w:tcPr>
            <w:tcW w:w="2580" w:type="dxa"/>
            <w:tcBorders>
              <w:top w:val="nil"/>
              <w:left w:val="nil"/>
              <w:bottom w:val="nil"/>
              <w:right w:val="nil"/>
            </w:tcBorders>
            <w:shd w:val="clear" w:color="auto" w:fill="auto"/>
            <w:noWrap/>
            <w:vAlign w:val="bottom"/>
            <w:hideMark/>
          </w:tcPr>
          <w:p w14:paraId="0AE17D92" w14:textId="77777777" w:rsidR="001F27DD" w:rsidRPr="0095004E" w:rsidRDefault="001F27DD" w:rsidP="006D2DA3">
            <w:pPr>
              <w:rPr>
                <w:color w:val="000000"/>
                <w:sz w:val="20"/>
                <w:szCs w:val="20"/>
              </w:rPr>
            </w:pPr>
            <w:r w:rsidRPr="0095004E">
              <w:rPr>
                <w:color w:val="000000"/>
                <w:sz w:val="20"/>
                <w:szCs w:val="20"/>
              </w:rPr>
              <w:t>Skewness</w:t>
            </w:r>
          </w:p>
        </w:tc>
        <w:tc>
          <w:tcPr>
            <w:tcW w:w="1580" w:type="dxa"/>
            <w:tcBorders>
              <w:top w:val="nil"/>
              <w:left w:val="nil"/>
              <w:bottom w:val="nil"/>
              <w:right w:val="nil"/>
            </w:tcBorders>
            <w:shd w:val="clear" w:color="auto" w:fill="auto"/>
            <w:noWrap/>
            <w:vAlign w:val="bottom"/>
            <w:hideMark/>
          </w:tcPr>
          <w:p w14:paraId="079B0A1B" w14:textId="77777777" w:rsidR="001F27DD" w:rsidRPr="0095004E" w:rsidRDefault="001F27DD" w:rsidP="006D2DA3">
            <w:pPr>
              <w:jc w:val="right"/>
              <w:rPr>
                <w:color w:val="000000"/>
                <w:sz w:val="20"/>
                <w:szCs w:val="20"/>
              </w:rPr>
            </w:pPr>
            <w:r w:rsidRPr="0095004E">
              <w:rPr>
                <w:color w:val="000000"/>
                <w:sz w:val="20"/>
                <w:szCs w:val="20"/>
              </w:rPr>
              <w:t>-0.108680676</w:t>
            </w:r>
          </w:p>
        </w:tc>
        <w:tc>
          <w:tcPr>
            <w:tcW w:w="1540" w:type="dxa"/>
            <w:tcBorders>
              <w:top w:val="nil"/>
              <w:left w:val="nil"/>
              <w:bottom w:val="nil"/>
              <w:right w:val="nil"/>
            </w:tcBorders>
            <w:shd w:val="clear" w:color="auto" w:fill="auto"/>
            <w:noWrap/>
            <w:vAlign w:val="bottom"/>
            <w:hideMark/>
          </w:tcPr>
          <w:p w14:paraId="61DF6CE5" w14:textId="77777777" w:rsidR="001F27DD" w:rsidRPr="0095004E" w:rsidRDefault="001F27DD" w:rsidP="006D2DA3">
            <w:pPr>
              <w:jc w:val="right"/>
              <w:rPr>
                <w:color w:val="000000"/>
                <w:sz w:val="20"/>
                <w:szCs w:val="20"/>
              </w:rPr>
            </w:pPr>
            <w:r w:rsidRPr="0095004E">
              <w:rPr>
                <w:color w:val="000000"/>
                <w:sz w:val="20"/>
                <w:szCs w:val="20"/>
              </w:rPr>
              <w:t>0.186054425</w:t>
            </w:r>
          </w:p>
        </w:tc>
        <w:tc>
          <w:tcPr>
            <w:tcW w:w="1300" w:type="dxa"/>
            <w:tcBorders>
              <w:top w:val="nil"/>
              <w:left w:val="nil"/>
              <w:bottom w:val="nil"/>
              <w:right w:val="nil"/>
            </w:tcBorders>
            <w:shd w:val="clear" w:color="auto" w:fill="auto"/>
            <w:noWrap/>
            <w:vAlign w:val="bottom"/>
            <w:hideMark/>
          </w:tcPr>
          <w:p w14:paraId="53618B25" w14:textId="77777777" w:rsidR="001F27DD" w:rsidRPr="0095004E" w:rsidRDefault="001F27DD" w:rsidP="006D2DA3">
            <w:pPr>
              <w:jc w:val="right"/>
              <w:rPr>
                <w:color w:val="000000"/>
                <w:sz w:val="20"/>
                <w:szCs w:val="20"/>
              </w:rPr>
            </w:pPr>
            <w:r w:rsidRPr="0095004E">
              <w:rPr>
                <w:color w:val="000000"/>
                <w:sz w:val="20"/>
                <w:szCs w:val="20"/>
              </w:rPr>
              <w:t>-0.3510053</w:t>
            </w:r>
          </w:p>
        </w:tc>
        <w:tc>
          <w:tcPr>
            <w:tcW w:w="1540" w:type="dxa"/>
            <w:tcBorders>
              <w:top w:val="nil"/>
              <w:left w:val="nil"/>
              <w:bottom w:val="nil"/>
              <w:right w:val="nil"/>
            </w:tcBorders>
            <w:shd w:val="clear" w:color="auto" w:fill="auto"/>
            <w:noWrap/>
            <w:vAlign w:val="bottom"/>
            <w:hideMark/>
          </w:tcPr>
          <w:p w14:paraId="6023F13E" w14:textId="77777777" w:rsidR="001F27DD" w:rsidRPr="0095004E" w:rsidRDefault="001F27DD" w:rsidP="006D2DA3">
            <w:pPr>
              <w:jc w:val="right"/>
              <w:rPr>
                <w:color w:val="000000"/>
                <w:sz w:val="20"/>
                <w:szCs w:val="20"/>
              </w:rPr>
            </w:pPr>
            <w:r w:rsidRPr="0095004E">
              <w:rPr>
                <w:color w:val="000000"/>
                <w:sz w:val="20"/>
                <w:szCs w:val="20"/>
              </w:rPr>
              <w:t>-0.112427192</w:t>
            </w:r>
          </w:p>
        </w:tc>
      </w:tr>
      <w:tr w:rsidR="001F27DD" w:rsidRPr="00F30121" w14:paraId="395E734F" w14:textId="77777777" w:rsidTr="006D2DA3">
        <w:trPr>
          <w:trHeight w:val="320"/>
        </w:trPr>
        <w:tc>
          <w:tcPr>
            <w:tcW w:w="2580" w:type="dxa"/>
            <w:tcBorders>
              <w:top w:val="nil"/>
              <w:left w:val="nil"/>
              <w:bottom w:val="nil"/>
              <w:right w:val="nil"/>
            </w:tcBorders>
            <w:shd w:val="clear" w:color="auto" w:fill="auto"/>
            <w:noWrap/>
            <w:vAlign w:val="bottom"/>
            <w:hideMark/>
          </w:tcPr>
          <w:p w14:paraId="10D9807E" w14:textId="77777777" w:rsidR="001F27DD" w:rsidRPr="0095004E" w:rsidRDefault="001F27DD" w:rsidP="006D2DA3">
            <w:pPr>
              <w:rPr>
                <w:color w:val="000000"/>
                <w:sz w:val="20"/>
                <w:szCs w:val="20"/>
              </w:rPr>
            </w:pPr>
            <w:r w:rsidRPr="0095004E">
              <w:rPr>
                <w:color w:val="000000"/>
                <w:sz w:val="20"/>
                <w:szCs w:val="20"/>
              </w:rPr>
              <w:t>Range</w:t>
            </w:r>
          </w:p>
        </w:tc>
        <w:tc>
          <w:tcPr>
            <w:tcW w:w="1580" w:type="dxa"/>
            <w:tcBorders>
              <w:top w:val="nil"/>
              <w:left w:val="nil"/>
              <w:bottom w:val="nil"/>
              <w:right w:val="nil"/>
            </w:tcBorders>
            <w:shd w:val="clear" w:color="auto" w:fill="auto"/>
            <w:noWrap/>
            <w:vAlign w:val="bottom"/>
            <w:hideMark/>
          </w:tcPr>
          <w:p w14:paraId="03232417" w14:textId="77777777" w:rsidR="001F27DD" w:rsidRPr="0095004E" w:rsidRDefault="001F27DD" w:rsidP="006D2DA3">
            <w:pPr>
              <w:jc w:val="right"/>
              <w:rPr>
                <w:color w:val="000000"/>
                <w:sz w:val="20"/>
                <w:szCs w:val="20"/>
              </w:rPr>
            </w:pPr>
            <w:r w:rsidRPr="0095004E">
              <w:rPr>
                <w:color w:val="000000"/>
                <w:sz w:val="20"/>
                <w:szCs w:val="20"/>
              </w:rPr>
              <w:t>54.84</w:t>
            </w:r>
          </w:p>
        </w:tc>
        <w:tc>
          <w:tcPr>
            <w:tcW w:w="1540" w:type="dxa"/>
            <w:tcBorders>
              <w:top w:val="nil"/>
              <w:left w:val="nil"/>
              <w:bottom w:val="nil"/>
              <w:right w:val="nil"/>
            </w:tcBorders>
            <w:shd w:val="clear" w:color="auto" w:fill="auto"/>
            <w:noWrap/>
            <w:vAlign w:val="bottom"/>
            <w:hideMark/>
          </w:tcPr>
          <w:p w14:paraId="762C3050" w14:textId="77777777" w:rsidR="001F27DD" w:rsidRPr="0095004E" w:rsidRDefault="001F27DD" w:rsidP="006D2DA3">
            <w:pPr>
              <w:jc w:val="right"/>
              <w:rPr>
                <w:color w:val="000000"/>
                <w:sz w:val="20"/>
                <w:szCs w:val="20"/>
              </w:rPr>
            </w:pPr>
            <w:r w:rsidRPr="0095004E">
              <w:rPr>
                <w:color w:val="000000"/>
                <w:sz w:val="20"/>
                <w:szCs w:val="20"/>
              </w:rPr>
              <w:t>14.96</w:t>
            </w:r>
          </w:p>
        </w:tc>
        <w:tc>
          <w:tcPr>
            <w:tcW w:w="1300" w:type="dxa"/>
            <w:tcBorders>
              <w:top w:val="nil"/>
              <w:left w:val="nil"/>
              <w:bottom w:val="nil"/>
              <w:right w:val="nil"/>
            </w:tcBorders>
            <w:shd w:val="clear" w:color="auto" w:fill="auto"/>
            <w:noWrap/>
            <w:vAlign w:val="bottom"/>
            <w:hideMark/>
          </w:tcPr>
          <w:p w14:paraId="1846627B" w14:textId="77777777" w:rsidR="001F27DD" w:rsidRPr="0095004E" w:rsidRDefault="001F27DD" w:rsidP="006D2DA3">
            <w:pPr>
              <w:jc w:val="right"/>
              <w:rPr>
                <w:color w:val="000000"/>
                <w:sz w:val="20"/>
                <w:szCs w:val="20"/>
              </w:rPr>
            </w:pPr>
            <w:r w:rsidRPr="0095004E">
              <w:rPr>
                <w:color w:val="000000"/>
                <w:sz w:val="20"/>
                <w:szCs w:val="20"/>
              </w:rPr>
              <w:t>22.45</w:t>
            </w:r>
          </w:p>
        </w:tc>
        <w:tc>
          <w:tcPr>
            <w:tcW w:w="1540" w:type="dxa"/>
            <w:tcBorders>
              <w:top w:val="nil"/>
              <w:left w:val="nil"/>
              <w:bottom w:val="nil"/>
              <w:right w:val="nil"/>
            </w:tcBorders>
            <w:shd w:val="clear" w:color="auto" w:fill="auto"/>
            <w:noWrap/>
            <w:vAlign w:val="bottom"/>
            <w:hideMark/>
          </w:tcPr>
          <w:p w14:paraId="5F3CC500" w14:textId="77777777" w:rsidR="001F27DD" w:rsidRPr="0095004E" w:rsidRDefault="001F27DD" w:rsidP="006D2DA3">
            <w:pPr>
              <w:jc w:val="right"/>
              <w:rPr>
                <w:color w:val="000000"/>
                <w:sz w:val="20"/>
                <w:szCs w:val="20"/>
              </w:rPr>
            </w:pPr>
            <w:r w:rsidRPr="0095004E">
              <w:rPr>
                <w:color w:val="000000"/>
                <w:sz w:val="20"/>
                <w:szCs w:val="20"/>
              </w:rPr>
              <w:t>54.8</w:t>
            </w:r>
          </w:p>
        </w:tc>
      </w:tr>
      <w:tr w:rsidR="001F27DD" w:rsidRPr="00F30121" w14:paraId="2D4E991A" w14:textId="77777777" w:rsidTr="006D2DA3">
        <w:trPr>
          <w:trHeight w:val="320"/>
        </w:trPr>
        <w:tc>
          <w:tcPr>
            <w:tcW w:w="2580" w:type="dxa"/>
            <w:tcBorders>
              <w:top w:val="nil"/>
              <w:left w:val="nil"/>
              <w:bottom w:val="nil"/>
              <w:right w:val="nil"/>
            </w:tcBorders>
            <w:shd w:val="clear" w:color="auto" w:fill="auto"/>
            <w:noWrap/>
            <w:vAlign w:val="bottom"/>
            <w:hideMark/>
          </w:tcPr>
          <w:p w14:paraId="777A5D29" w14:textId="77777777" w:rsidR="001F27DD" w:rsidRPr="0095004E" w:rsidRDefault="001F27DD" w:rsidP="006D2DA3">
            <w:pPr>
              <w:rPr>
                <w:color w:val="000000"/>
                <w:sz w:val="20"/>
                <w:szCs w:val="20"/>
              </w:rPr>
            </w:pPr>
            <w:r w:rsidRPr="0095004E">
              <w:rPr>
                <w:color w:val="000000"/>
                <w:sz w:val="20"/>
                <w:szCs w:val="20"/>
              </w:rPr>
              <w:t>Minimum</w:t>
            </w:r>
          </w:p>
        </w:tc>
        <w:tc>
          <w:tcPr>
            <w:tcW w:w="1580" w:type="dxa"/>
            <w:tcBorders>
              <w:top w:val="nil"/>
              <w:left w:val="nil"/>
              <w:bottom w:val="nil"/>
              <w:right w:val="nil"/>
            </w:tcBorders>
            <w:shd w:val="clear" w:color="auto" w:fill="auto"/>
            <w:noWrap/>
            <w:vAlign w:val="bottom"/>
            <w:hideMark/>
          </w:tcPr>
          <w:p w14:paraId="2C54E854" w14:textId="77777777" w:rsidR="001F27DD" w:rsidRPr="0095004E" w:rsidRDefault="001F27DD" w:rsidP="006D2DA3">
            <w:pPr>
              <w:jc w:val="right"/>
              <w:rPr>
                <w:color w:val="000000"/>
                <w:sz w:val="20"/>
                <w:szCs w:val="20"/>
              </w:rPr>
            </w:pPr>
            <w:r w:rsidRPr="0095004E">
              <w:rPr>
                <w:color w:val="000000"/>
                <w:sz w:val="20"/>
                <w:szCs w:val="20"/>
              </w:rPr>
              <w:t>-26.83</w:t>
            </w:r>
          </w:p>
        </w:tc>
        <w:tc>
          <w:tcPr>
            <w:tcW w:w="1540" w:type="dxa"/>
            <w:tcBorders>
              <w:top w:val="nil"/>
              <w:left w:val="nil"/>
              <w:bottom w:val="nil"/>
              <w:right w:val="nil"/>
            </w:tcBorders>
            <w:shd w:val="clear" w:color="auto" w:fill="auto"/>
            <w:noWrap/>
            <w:vAlign w:val="bottom"/>
            <w:hideMark/>
          </w:tcPr>
          <w:p w14:paraId="5061B0DC" w14:textId="77777777" w:rsidR="001F27DD" w:rsidRPr="0095004E" w:rsidRDefault="001F27DD" w:rsidP="006D2DA3">
            <w:pPr>
              <w:jc w:val="right"/>
              <w:rPr>
                <w:color w:val="000000"/>
                <w:sz w:val="20"/>
                <w:szCs w:val="20"/>
              </w:rPr>
            </w:pPr>
            <w:r w:rsidRPr="0095004E">
              <w:rPr>
                <w:color w:val="000000"/>
                <w:sz w:val="20"/>
                <w:szCs w:val="20"/>
              </w:rPr>
              <w:t>-6.98</w:t>
            </w:r>
          </w:p>
        </w:tc>
        <w:tc>
          <w:tcPr>
            <w:tcW w:w="1300" w:type="dxa"/>
            <w:tcBorders>
              <w:top w:val="nil"/>
              <w:left w:val="nil"/>
              <w:bottom w:val="nil"/>
              <w:right w:val="nil"/>
            </w:tcBorders>
            <w:shd w:val="clear" w:color="auto" w:fill="auto"/>
            <w:noWrap/>
            <w:vAlign w:val="bottom"/>
            <w:hideMark/>
          </w:tcPr>
          <w:p w14:paraId="4ECAD9AA" w14:textId="77777777" w:rsidR="001F27DD" w:rsidRPr="0095004E" w:rsidRDefault="001F27DD" w:rsidP="006D2DA3">
            <w:pPr>
              <w:jc w:val="right"/>
              <w:rPr>
                <w:color w:val="000000"/>
                <w:sz w:val="20"/>
                <w:szCs w:val="20"/>
              </w:rPr>
            </w:pPr>
            <w:r w:rsidRPr="0095004E">
              <w:rPr>
                <w:color w:val="000000"/>
                <w:sz w:val="20"/>
                <w:szCs w:val="20"/>
              </w:rPr>
              <w:t>-12.29</w:t>
            </w:r>
          </w:p>
        </w:tc>
        <w:tc>
          <w:tcPr>
            <w:tcW w:w="1540" w:type="dxa"/>
            <w:tcBorders>
              <w:top w:val="nil"/>
              <w:left w:val="nil"/>
              <w:bottom w:val="nil"/>
              <w:right w:val="nil"/>
            </w:tcBorders>
            <w:shd w:val="clear" w:color="auto" w:fill="auto"/>
            <w:noWrap/>
            <w:vAlign w:val="bottom"/>
            <w:hideMark/>
          </w:tcPr>
          <w:p w14:paraId="570D1E41" w14:textId="77777777" w:rsidR="001F27DD" w:rsidRPr="0095004E" w:rsidRDefault="001F27DD" w:rsidP="006D2DA3">
            <w:pPr>
              <w:jc w:val="right"/>
              <w:rPr>
                <w:color w:val="000000"/>
                <w:sz w:val="20"/>
                <w:szCs w:val="20"/>
              </w:rPr>
            </w:pPr>
            <w:r w:rsidRPr="0095004E">
              <w:rPr>
                <w:color w:val="000000"/>
                <w:sz w:val="20"/>
                <w:szCs w:val="20"/>
              </w:rPr>
              <w:t>-27.07</w:t>
            </w:r>
          </w:p>
        </w:tc>
      </w:tr>
      <w:tr w:rsidR="001F27DD" w:rsidRPr="00F30121" w14:paraId="64988191" w14:textId="77777777" w:rsidTr="006D2DA3">
        <w:trPr>
          <w:trHeight w:val="320"/>
        </w:trPr>
        <w:tc>
          <w:tcPr>
            <w:tcW w:w="2580" w:type="dxa"/>
            <w:tcBorders>
              <w:top w:val="nil"/>
              <w:left w:val="nil"/>
              <w:bottom w:val="nil"/>
              <w:right w:val="nil"/>
            </w:tcBorders>
            <w:shd w:val="clear" w:color="auto" w:fill="auto"/>
            <w:noWrap/>
            <w:vAlign w:val="bottom"/>
            <w:hideMark/>
          </w:tcPr>
          <w:p w14:paraId="3B544D18" w14:textId="77777777" w:rsidR="001F27DD" w:rsidRPr="0095004E" w:rsidRDefault="001F27DD" w:rsidP="006D2DA3">
            <w:pPr>
              <w:rPr>
                <w:color w:val="000000"/>
                <w:sz w:val="20"/>
                <w:szCs w:val="20"/>
              </w:rPr>
            </w:pPr>
            <w:r w:rsidRPr="0095004E">
              <w:rPr>
                <w:color w:val="000000"/>
                <w:sz w:val="20"/>
                <w:szCs w:val="20"/>
              </w:rPr>
              <w:t>Maximum</w:t>
            </w:r>
          </w:p>
        </w:tc>
        <w:tc>
          <w:tcPr>
            <w:tcW w:w="1580" w:type="dxa"/>
            <w:tcBorders>
              <w:top w:val="nil"/>
              <w:left w:val="nil"/>
              <w:bottom w:val="nil"/>
              <w:right w:val="nil"/>
            </w:tcBorders>
            <w:shd w:val="clear" w:color="auto" w:fill="auto"/>
            <w:noWrap/>
            <w:vAlign w:val="bottom"/>
            <w:hideMark/>
          </w:tcPr>
          <w:p w14:paraId="2C1E529C" w14:textId="77777777" w:rsidR="001F27DD" w:rsidRPr="0095004E" w:rsidRDefault="001F27DD" w:rsidP="006D2DA3">
            <w:pPr>
              <w:jc w:val="right"/>
              <w:rPr>
                <w:color w:val="000000"/>
                <w:sz w:val="20"/>
                <w:szCs w:val="20"/>
              </w:rPr>
            </w:pPr>
            <w:r w:rsidRPr="0095004E">
              <w:rPr>
                <w:color w:val="000000"/>
                <w:sz w:val="20"/>
                <w:szCs w:val="20"/>
              </w:rPr>
              <w:t>28.01</w:t>
            </w:r>
          </w:p>
        </w:tc>
        <w:tc>
          <w:tcPr>
            <w:tcW w:w="1540" w:type="dxa"/>
            <w:tcBorders>
              <w:top w:val="nil"/>
              <w:left w:val="nil"/>
              <w:bottom w:val="nil"/>
              <w:right w:val="nil"/>
            </w:tcBorders>
            <w:shd w:val="clear" w:color="auto" w:fill="auto"/>
            <w:noWrap/>
            <w:vAlign w:val="bottom"/>
            <w:hideMark/>
          </w:tcPr>
          <w:p w14:paraId="2253E9B0" w14:textId="77777777" w:rsidR="001F27DD" w:rsidRPr="0095004E" w:rsidRDefault="001F27DD" w:rsidP="006D2DA3">
            <w:pPr>
              <w:jc w:val="right"/>
              <w:rPr>
                <w:color w:val="000000"/>
                <w:sz w:val="20"/>
                <w:szCs w:val="20"/>
              </w:rPr>
            </w:pPr>
            <w:r w:rsidRPr="0095004E">
              <w:rPr>
                <w:color w:val="000000"/>
                <w:sz w:val="20"/>
                <w:szCs w:val="20"/>
              </w:rPr>
              <w:t>7.98</w:t>
            </w:r>
          </w:p>
        </w:tc>
        <w:tc>
          <w:tcPr>
            <w:tcW w:w="1300" w:type="dxa"/>
            <w:tcBorders>
              <w:top w:val="nil"/>
              <w:left w:val="nil"/>
              <w:bottom w:val="nil"/>
              <w:right w:val="nil"/>
            </w:tcBorders>
            <w:shd w:val="clear" w:color="auto" w:fill="auto"/>
            <w:noWrap/>
            <w:vAlign w:val="bottom"/>
            <w:hideMark/>
          </w:tcPr>
          <w:p w14:paraId="0838D590" w14:textId="77777777" w:rsidR="001F27DD" w:rsidRPr="0095004E" w:rsidRDefault="001F27DD" w:rsidP="006D2DA3">
            <w:pPr>
              <w:jc w:val="right"/>
              <w:rPr>
                <w:color w:val="000000"/>
                <w:sz w:val="20"/>
                <w:szCs w:val="20"/>
              </w:rPr>
            </w:pPr>
            <w:r w:rsidRPr="0095004E">
              <w:rPr>
                <w:color w:val="000000"/>
                <w:sz w:val="20"/>
                <w:szCs w:val="20"/>
              </w:rPr>
              <w:t>10.16</w:t>
            </w:r>
          </w:p>
        </w:tc>
        <w:tc>
          <w:tcPr>
            <w:tcW w:w="1540" w:type="dxa"/>
            <w:tcBorders>
              <w:top w:val="nil"/>
              <w:left w:val="nil"/>
              <w:bottom w:val="nil"/>
              <w:right w:val="nil"/>
            </w:tcBorders>
            <w:shd w:val="clear" w:color="auto" w:fill="auto"/>
            <w:noWrap/>
            <w:vAlign w:val="bottom"/>
            <w:hideMark/>
          </w:tcPr>
          <w:p w14:paraId="0765B9E0" w14:textId="77777777" w:rsidR="001F27DD" w:rsidRPr="0095004E" w:rsidRDefault="001F27DD" w:rsidP="006D2DA3">
            <w:pPr>
              <w:jc w:val="right"/>
              <w:rPr>
                <w:color w:val="000000"/>
                <w:sz w:val="20"/>
                <w:szCs w:val="20"/>
              </w:rPr>
            </w:pPr>
            <w:r w:rsidRPr="0095004E">
              <w:rPr>
                <w:color w:val="000000"/>
                <w:sz w:val="20"/>
                <w:szCs w:val="20"/>
              </w:rPr>
              <w:t>27.73</w:t>
            </w:r>
          </w:p>
        </w:tc>
      </w:tr>
      <w:tr w:rsidR="001F27DD" w:rsidRPr="00F30121" w14:paraId="5B99C855" w14:textId="77777777" w:rsidTr="006D2DA3">
        <w:trPr>
          <w:trHeight w:val="320"/>
        </w:trPr>
        <w:tc>
          <w:tcPr>
            <w:tcW w:w="2580" w:type="dxa"/>
            <w:tcBorders>
              <w:top w:val="nil"/>
              <w:left w:val="nil"/>
              <w:bottom w:val="nil"/>
              <w:right w:val="nil"/>
            </w:tcBorders>
            <w:shd w:val="clear" w:color="auto" w:fill="auto"/>
            <w:noWrap/>
            <w:vAlign w:val="bottom"/>
            <w:hideMark/>
          </w:tcPr>
          <w:p w14:paraId="49AF848C" w14:textId="77777777" w:rsidR="001F27DD" w:rsidRPr="0095004E" w:rsidRDefault="001F27DD" w:rsidP="006D2DA3">
            <w:pPr>
              <w:rPr>
                <w:color w:val="000000"/>
                <w:sz w:val="20"/>
                <w:szCs w:val="20"/>
              </w:rPr>
            </w:pPr>
            <w:r w:rsidRPr="0095004E">
              <w:rPr>
                <w:color w:val="000000"/>
                <w:sz w:val="20"/>
                <w:szCs w:val="20"/>
              </w:rPr>
              <w:t>Sum</w:t>
            </w:r>
          </w:p>
        </w:tc>
        <w:tc>
          <w:tcPr>
            <w:tcW w:w="1580" w:type="dxa"/>
            <w:tcBorders>
              <w:top w:val="nil"/>
              <w:left w:val="nil"/>
              <w:bottom w:val="nil"/>
              <w:right w:val="nil"/>
            </w:tcBorders>
            <w:shd w:val="clear" w:color="auto" w:fill="auto"/>
            <w:noWrap/>
            <w:vAlign w:val="bottom"/>
            <w:hideMark/>
          </w:tcPr>
          <w:p w14:paraId="6D7CC5C6" w14:textId="77777777" w:rsidR="001F27DD" w:rsidRPr="0095004E" w:rsidRDefault="001F27DD" w:rsidP="006D2DA3">
            <w:pPr>
              <w:jc w:val="right"/>
              <w:rPr>
                <w:color w:val="000000"/>
                <w:sz w:val="20"/>
                <w:szCs w:val="20"/>
              </w:rPr>
            </w:pPr>
            <w:r w:rsidRPr="0095004E">
              <w:rPr>
                <w:color w:val="000000"/>
                <w:sz w:val="20"/>
                <w:szCs w:val="20"/>
              </w:rPr>
              <w:t>182.5</w:t>
            </w:r>
          </w:p>
        </w:tc>
        <w:tc>
          <w:tcPr>
            <w:tcW w:w="1540" w:type="dxa"/>
            <w:tcBorders>
              <w:top w:val="nil"/>
              <w:left w:val="nil"/>
              <w:bottom w:val="nil"/>
              <w:right w:val="nil"/>
            </w:tcBorders>
            <w:shd w:val="clear" w:color="auto" w:fill="auto"/>
            <w:noWrap/>
            <w:vAlign w:val="bottom"/>
            <w:hideMark/>
          </w:tcPr>
          <w:p w14:paraId="66BC31BE" w14:textId="77777777" w:rsidR="001F27DD" w:rsidRPr="0095004E" w:rsidRDefault="001F27DD" w:rsidP="006D2DA3">
            <w:pPr>
              <w:jc w:val="right"/>
              <w:rPr>
                <w:color w:val="000000"/>
                <w:sz w:val="20"/>
                <w:szCs w:val="20"/>
              </w:rPr>
            </w:pPr>
            <w:r w:rsidRPr="0095004E">
              <w:rPr>
                <w:color w:val="000000"/>
                <w:sz w:val="20"/>
                <w:szCs w:val="20"/>
              </w:rPr>
              <w:t>-8.98</w:t>
            </w:r>
          </w:p>
        </w:tc>
        <w:tc>
          <w:tcPr>
            <w:tcW w:w="1300" w:type="dxa"/>
            <w:tcBorders>
              <w:top w:val="nil"/>
              <w:left w:val="nil"/>
              <w:bottom w:val="nil"/>
              <w:right w:val="nil"/>
            </w:tcBorders>
            <w:shd w:val="clear" w:color="auto" w:fill="auto"/>
            <w:noWrap/>
            <w:vAlign w:val="bottom"/>
            <w:hideMark/>
          </w:tcPr>
          <w:p w14:paraId="5CCD26C1" w14:textId="77777777" w:rsidR="001F27DD" w:rsidRPr="0095004E" w:rsidRDefault="001F27DD" w:rsidP="006D2DA3">
            <w:pPr>
              <w:jc w:val="right"/>
              <w:rPr>
                <w:color w:val="000000"/>
                <w:sz w:val="20"/>
                <w:szCs w:val="20"/>
              </w:rPr>
            </w:pPr>
            <w:r w:rsidRPr="0095004E">
              <w:rPr>
                <w:color w:val="000000"/>
                <w:sz w:val="20"/>
                <w:szCs w:val="20"/>
              </w:rPr>
              <w:t>68.1</w:t>
            </w:r>
          </w:p>
        </w:tc>
        <w:tc>
          <w:tcPr>
            <w:tcW w:w="1540" w:type="dxa"/>
            <w:tcBorders>
              <w:top w:val="nil"/>
              <w:left w:val="nil"/>
              <w:bottom w:val="nil"/>
              <w:right w:val="nil"/>
            </w:tcBorders>
            <w:shd w:val="clear" w:color="auto" w:fill="auto"/>
            <w:noWrap/>
            <w:vAlign w:val="bottom"/>
            <w:hideMark/>
          </w:tcPr>
          <w:p w14:paraId="4554A70F" w14:textId="77777777" w:rsidR="001F27DD" w:rsidRPr="0095004E" w:rsidRDefault="001F27DD" w:rsidP="006D2DA3">
            <w:pPr>
              <w:jc w:val="right"/>
              <w:rPr>
                <w:color w:val="000000"/>
                <w:sz w:val="20"/>
                <w:szCs w:val="20"/>
              </w:rPr>
            </w:pPr>
            <w:r w:rsidRPr="0095004E">
              <w:rPr>
                <w:color w:val="000000"/>
                <w:sz w:val="20"/>
                <w:szCs w:val="20"/>
              </w:rPr>
              <w:t>164.12</w:t>
            </w:r>
          </w:p>
        </w:tc>
      </w:tr>
      <w:tr w:rsidR="001F27DD" w:rsidRPr="00F30121" w14:paraId="52B2AF98" w14:textId="77777777" w:rsidTr="006D2DA3">
        <w:trPr>
          <w:trHeight w:val="320"/>
        </w:trPr>
        <w:tc>
          <w:tcPr>
            <w:tcW w:w="2580" w:type="dxa"/>
            <w:tcBorders>
              <w:top w:val="nil"/>
              <w:left w:val="nil"/>
              <w:bottom w:val="nil"/>
              <w:right w:val="nil"/>
            </w:tcBorders>
            <w:shd w:val="clear" w:color="auto" w:fill="auto"/>
            <w:noWrap/>
            <w:vAlign w:val="bottom"/>
            <w:hideMark/>
          </w:tcPr>
          <w:p w14:paraId="35A75592" w14:textId="77777777" w:rsidR="001F27DD" w:rsidRPr="0095004E" w:rsidRDefault="001F27DD" w:rsidP="006D2DA3">
            <w:pPr>
              <w:rPr>
                <w:color w:val="000000"/>
                <w:sz w:val="20"/>
                <w:szCs w:val="20"/>
              </w:rPr>
            </w:pPr>
            <w:r w:rsidRPr="0095004E">
              <w:rPr>
                <w:color w:val="000000"/>
                <w:sz w:val="20"/>
                <w:szCs w:val="20"/>
              </w:rPr>
              <w:t>Count</w:t>
            </w:r>
          </w:p>
        </w:tc>
        <w:tc>
          <w:tcPr>
            <w:tcW w:w="1580" w:type="dxa"/>
            <w:tcBorders>
              <w:top w:val="nil"/>
              <w:left w:val="nil"/>
              <w:bottom w:val="nil"/>
              <w:right w:val="nil"/>
            </w:tcBorders>
            <w:shd w:val="clear" w:color="auto" w:fill="auto"/>
            <w:noWrap/>
            <w:vAlign w:val="bottom"/>
            <w:hideMark/>
          </w:tcPr>
          <w:p w14:paraId="6F8AA312"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349ECBFF" w14:textId="77777777" w:rsidR="001F27DD" w:rsidRPr="0095004E" w:rsidRDefault="001F27DD" w:rsidP="006D2DA3">
            <w:pPr>
              <w:jc w:val="right"/>
              <w:rPr>
                <w:color w:val="000000"/>
                <w:sz w:val="20"/>
                <w:szCs w:val="20"/>
              </w:rPr>
            </w:pPr>
            <w:r w:rsidRPr="0095004E">
              <w:rPr>
                <w:color w:val="000000"/>
                <w:sz w:val="20"/>
                <w:szCs w:val="20"/>
              </w:rPr>
              <w:t>96</w:t>
            </w:r>
          </w:p>
        </w:tc>
        <w:tc>
          <w:tcPr>
            <w:tcW w:w="1300" w:type="dxa"/>
            <w:tcBorders>
              <w:top w:val="nil"/>
              <w:left w:val="nil"/>
              <w:bottom w:val="nil"/>
              <w:right w:val="nil"/>
            </w:tcBorders>
            <w:shd w:val="clear" w:color="auto" w:fill="auto"/>
            <w:noWrap/>
            <w:vAlign w:val="bottom"/>
            <w:hideMark/>
          </w:tcPr>
          <w:p w14:paraId="4B04C330"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10C0E234" w14:textId="77777777" w:rsidR="001F27DD" w:rsidRPr="0095004E" w:rsidRDefault="001F27DD" w:rsidP="006D2DA3">
            <w:pPr>
              <w:jc w:val="right"/>
              <w:rPr>
                <w:color w:val="000000"/>
                <w:sz w:val="20"/>
                <w:szCs w:val="20"/>
              </w:rPr>
            </w:pPr>
            <w:r w:rsidRPr="0095004E">
              <w:rPr>
                <w:color w:val="000000"/>
                <w:sz w:val="20"/>
                <w:szCs w:val="20"/>
              </w:rPr>
              <w:t>96</w:t>
            </w:r>
          </w:p>
        </w:tc>
      </w:tr>
      <w:tr w:rsidR="001F27DD" w:rsidRPr="00F30121" w14:paraId="7709D92D" w14:textId="77777777" w:rsidTr="006D2DA3">
        <w:trPr>
          <w:trHeight w:val="340"/>
        </w:trPr>
        <w:tc>
          <w:tcPr>
            <w:tcW w:w="2580" w:type="dxa"/>
            <w:tcBorders>
              <w:top w:val="nil"/>
              <w:left w:val="nil"/>
              <w:bottom w:val="single" w:sz="8" w:space="0" w:color="auto"/>
              <w:right w:val="nil"/>
            </w:tcBorders>
            <w:shd w:val="clear" w:color="auto" w:fill="auto"/>
            <w:noWrap/>
            <w:vAlign w:val="bottom"/>
            <w:hideMark/>
          </w:tcPr>
          <w:p w14:paraId="2C0737BB" w14:textId="77777777" w:rsidR="001F27DD" w:rsidRPr="0095004E" w:rsidRDefault="001F27DD" w:rsidP="006D2DA3">
            <w:pPr>
              <w:rPr>
                <w:color w:val="000000"/>
                <w:sz w:val="20"/>
                <w:szCs w:val="20"/>
              </w:rPr>
            </w:pPr>
            <w:r w:rsidRPr="0095004E">
              <w:rPr>
                <w:color w:val="000000"/>
                <w:sz w:val="20"/>
                <w:szCs w:val="20"/>
              </w:rPr>
              <w:t>Confidence Level(95.0%)</w:t>
            </w:r>
          </w:p>
        </w:tc>
        <w:tc>
          <w:tcPr>
            <w:tcW w:w="1580" w:type="dxa"/>
            <w:tcBorders>
              <w:top w:val="nil"/>
              <w:left w:val="nil"/>
              <w:bottom w:val="single" w:sz="8" w:space="0" w:color="auto"/>
              <w:right w:val="nil"/>
            </w:tcBorders>
            <w:shd w:val="clear" w:color="auto" w:fill="auto"/>
            <w:noWrap/>
            <w:vAlign w:val="bottom"/>
            <w:hideMark/>
          </w:tcPr>
          <w:p w14:paraId="2BF1CEC9" w14:textId="77777777" w:rsidR="001F27DD" w:rsidRPr="0095004E" w:rsidRDefault="001F27DD" w:rsidP="006D2DA3">
            <w:pPr>
              <w:jc w:val="right"/>
              <w:rPr>
                <w:color w:val="000000"/>
                <w:sz w:val="20"/>
                <w:szCs w:val="20"/>
              </w:rPr>
            </w:pPr>
            <w:r w:rsidRPr="0095004E">
              <w:rPr>
                <w:color w:val="000000"/>
                <w:sz w:val="20"/>
                <w:szCs w:val="20"/>
              </w:rPr>
              <w:t>2.074203363</w:t>
            </w:r>
          </w:p>
        </w:tc>
        <w:tc>
          <w:tcPr>
            <w:tcW w:w="1540" w:type="dxa"/>
            <w:tcBorders>
              <w:top w:val="nil"/>
              <w:left w:val="nil"/>
              <w:bottom w:val="single" w:sz="8" w:space="0" w:color="auto"/>
              <w:right w:val="nil"/>
            </w:tcBorders>
            <w:shd w:val="clear" w:color="auto" w:fill="auto"/>
            <w:noWrap/>
            <w:vAlign w:val="bottom"/>
            <w:hideMark/>
          </w:tcPr>
          <w:p w14:paraId="7696C44A" w14:textId="77777777" w:rsidR="001F27DD" w:rsidRPr="0095004E" w:rsidRDefault="001F27DD" w:rsidP="006D2DA3">
            <w:pPr>
              <w:jc w:val="right"/>
              <w:rPr>
                <w:color w:val="000000"/>
                <w:sz w:val="20"/>
                <w:szCs w:val="20"/>
              </w:rPr>
            </w:pPr>
            <w:r w:rsidRPr="0095004E">
              <w:rPr>
                <w:color w:val="000000"/>
                <w:sz w:val="20"/>
                <w:szCs w:val="20"/>
              </w:rPr>
              <w:t>0.628063472</w:t>
            </w:r>
          </w:p>
        </w:tc>
        <w:tc>
          <w:tcPr>
            <w:tcW w:w="1300" w:type="dxa"/>
            <w:tcBorders>
              <w:top w:val="nil"/>
              <w:left w:val="nil"/>
              <w:bottom w:val="single" w:sz="8" w:space="0" w:color="auto"/>
              <w:right w:val="nil"/>
            </w:tcBorders>
            <w:shd w:val="clear" w:color="auto" w:fill="auto"/>
            <w:noWrap/>
            <w:vAlign w:val="bottom"/>
            <w:hideMark/>
          </w:tcPr>
          <w:p w14:paraId="10F551D5" w14:textId="77777777" w:rsidR="001F27DD" w:rsidRPr="0095004E" w:rsidRDefault="001F27DD" w:rsidP="006D2DA3">
            <w:pPr>
              <w:jc w:val="right"/>
              <w:rPr>
                <w:color w:val="000000"/>
                <w:sz w:val="20"/>
                <w:szCs w:val="20"/>
              </w:rPr>
            </w:pPr>
            <w:r w:rsidRPr="0095004E">
              <w:rPr>
                <w:color w:val="000000"/>
                <w:sz w:val="20"/>
                <w:szCs w:val="20"/>
              </w:rPr>
              <w:t>0.94663009</w:t>
            </w:r>
          </w:p>
        </w:tc>
        <w:tc>
          <w:tcPr>
            <w:tcW w:w="1540" w:type="dxa"/>
            <w:tcBorders>
              <w:top w:val="nil"/>
              <w:left w:val="nil"/>
              <w:bottom w:val="single" w:sz="8" w:space="0" w:color="auto"/>
              <w:right w:val="nil"/>
            </w:tcBorders>
            <w:shd w:val="clear" w:color="auto" w:fill="auto"/>
            <w:noWrap/>
            <w:vAlign w:val="bottom"/>
            <w:hideMark/>
          </w:tcPr>
          <w:p w14:paraId="2E51111A" w14:textId="77777777" w:rsidR="001F27DD" w:rsidRPr="0095004E" w:rsidRDefault="001F27DD" w:rsidP="006D2DA3">
            <w:pPr>
              <w:jc w:val="right"/>
              <w:rPr>
                <w:color w:val="000000"/>
                <w:sz w:val="20"/>
                <w:szCs w:val="20"/>
              </w:rPr>
            </w:pPr>
            <w:r w:rsidRPr="0095004E">
              <w:rPr>
                <w:color w:val="000000"/>
                <w:sz w:val="20"/>
                <w:szCs w:val="20"/>
              </w:rPr>
              <w:t>2.076730005</w:t>
            </w:r>
          </w:p>
        </w:tc>
      </w:tr>
    </w:tbl>
    <w:p w14:paraId="72583FAF" w14:textId="77777777" w:rsidR="001F27DD" w:rsidRDefault="001F27DD" w:rsidP="001F27DD">
      <w:pPr>
        <w:pStyle w:val="paragraph"/>
        <w:spacing w:before="0" w:beforeAutospacing="0" w:after="0" w:afterAutospacing="0"/>
        <w:textAlignment w:val="baseline"/>
        <w:rPr>
          <w:rStyle w:val="normaltextrun"/>
          <w:rFonts w:ascii="Calibri" w:hAnsi="Calibri" w:cs="Segoe UI"/>
          <w:sz w:val="22"/>
          <w:szCs w:val="22"/>
        </w:rPr>
      </w:pPr>
    </w:p>
    <w:p w14:paraId="3E9011FD" w14:textId="77777777" w:rsidR="001F27DD" w:rsidRPr="0095004E" w:rsidRDefault="001F27DD" w:rsidP="001F27DD">
      <w:pPr>
        <w:pStyle w:val="paragraph"/>
        <w:spacing w:before="0" w:beforeAutospacing="0" w:after="0" w:afterAutospacing="0"/>
        <w:textAlignment w:val="baseline"/>
        <w:rPr>
          <w:rStyle w:val="normaltextrun"/>
          <w:b/>
          <w:bCs/>
        </w:rPr>
      </w:pPr>
      <w:bookmarkStart w:id="17" w:name="OLE_LINK51"/>
      <w:bookmarkStart w:id="18" w:name="OLE_LINK52"/>
      <w:r w:rsidRPr="0095004E">
        <w:rPr>
          <w:rStyle w:val="normaltextrun"/>
          <w:b/>
          <w:bCs/>
        </w:rPr>
        <w:t xml:space="preserve">Table 3: Descriptive statistics of independent variables and the monthly returns </w:t>
      </w:r>
    </w:p>
    <w:tbl>
      <w:tblPr>
        <w:tblW w:w="8540" w:type="dxa"/>
        <w:tblLook w:val="04A0" w:firstRow="1" w:lastRow="0" w:firstColumn="1" w:lastColumn="0" w:noHBand="0" w:noVBand="1"/>
      </w:tblPr>
      <w:tblGrid>
        <w:gridCol w:w="2580"/>
        <w:gridCol w:w="1580"/>
        <w:gridCol w:w="1540"/>
        <w:gridCol w:w="1300"/>
        <w:gridCol w:w="1540"/>
      </w:tblGrid>
      <w:tr w:rsidR="001F27DD" w:rsidRPr="00F30121" w14:paraId="7364B457" w14:textId="77777777" w:rsidTr="006D2DA3">
        <w:trPr>
          <w:trHeight w:val="320"/>
        </w:trPr>
        <w:tc>
          <w:tcPr>
            <w:tcW w:w="2580" w:type="dxa"/>
            <w:tcBorders>
              <w:top w:val="single" w:sz="8" w:space="0" w:color="auto"/>
              <w:left w:val="nil"/>
              <w:bottom w:val="single" w:sz="4" w:space="0" w:color="auto"/>
              <w:right w:val="nil"/>
            </w:tcBorders>
            <w:shd w:val="clear" w:color="auto" w:fill="auto"/>
            <w:noWrap/>
            <w:vAlign w:val="bottom"/>
            <w:hideMark/>
          </w:tcPr>
          <w:bookmarkEnd w:id="17"/>
          <w:bookmarkEnd w:id="18"/>
          <w:p w14:paraId="380EE2AA" w14:textId="77777777" w:rsidR="001F27DD" w:rsidRPr="0095004E" w:rsidRDefault="001F27DD" w:rsidP="006D2DA3">
            <w:pPr>
              <w:jc w:val="center"/>
              <w:rPr>
                <w:i/>
                <w:iCs/>
                <w:color w:val="000000"/>
                <w:sz w:val="20"/>
                <w:szCs w:val="20"/>
              </w:rPr>
            </w:pPr>
            <w:r w:rsidRPr="0095004E">
              <w:rPr>
                <w:i/>
                <w:iCs/>
                <w:color w:val="000000"/>
                <w:sz w:val="20"/>
                <w:szCs w:val="20"/>
              </w:rPr>
              <w:t>India</w:t>
            </w:r>
          </w:p>
        </w:tc>
        <w:tc>
          <w:tcPr>
            <w:tcW w:w="1580" w:type="dxa"/>
            <w:tcBorders>
              <w:top w:val="single" w:sz="8" w:space="0" w:color="auto"/>
              <w:left w:val="nil"/>
              <w:bottom w:val="single" w:sz="4" w:space="0" w:color="auto"/>
              <w:right w:val="nil"/>
            </w:tcBorders>
            <w:shd w:val="clear" w:color="auto" w:fill="auto"/>
            <w:noWrap/>
            <w:vAlign w:val="bottom"/>
            <w:hideMark/>
          </w:tcPr>
          <w:p w14:paraId="2E1A5FBD" w14:textId="77777777" w:rsidR="001F27DD" w:rsidRPr="0095004E" w:rsidRDefault="001F27DD" w:rsidP="006D2DA3">
            <w:pPr>
              <w:jc w:val="center"/>
              <w:rPr>
                <w:i/>
                <w:iCs/>
                <w:color w:val="000000"/>
                <w:sz w:val="20"/>
                <w:szCs w:val="20"/>
              </w:rPr>
            </w:pPr>
            <w:r w:rsidRPr="0095004E">
              <w:rPr>
                <w:i/>
                <w:iCs/>
                <w:color w:val="000000"/>
                <w:sz w:val="20"/>
                <w:szCs w:val="20"/>
              </w:rPr>
              <w:t>Returns</w:t>
            </w:r>
          </w:p>
        </w:tc>
        <w:tc>
          <w:tcPr>
            <w:tcW w:w="1540" w:type="dxa"/>
            <w:tcBorders>
              <w:top w:val="single" w:sz="8" w:space="0" w:color="auto"/>
              <w:left w:val="nil"/>
              <w:bottom w:val="single" w:sz="4" w:space="0" w:color="auto"/>
              <w:right w:val="nil"/>
            </w:tcBorders>
            <w:shd w:val="clear" w:color="auto" w:fill="auto"/>
            <w:noWrap/>
            <w:vAlign w:val="bottom"/>
            <w:hideMark/>
          </w:tcPr>
          <w:p w14:paraId="44D7902E" w14:textId="77777777" w:rsidR="001F27DD" w:rsidRPr="0095004E" w:rsidRDefault="001F27DD" w:rsidP="006D2DA3">
            <w:pPr>
              <w:jc w:val="center"/>
              <w:rPr>
                <w:i/>
                <w:iCs/>
                <w:color w:val="000000"/>
                <w:sz w:val="20"/>
                <w:szCs w:val="20"/>
              </w:rPr>
            </w:pPr>
            <w:r w:rsidRPr="0095004E">
              <w:rPr>
                <w:i/>
                <w:iCs/>
                <w:color w:val="000000"/>
                <w:sz w:val="20"/>
                <w:szCs w:val="20"/>
              </w:rPr>
              <w:t>HML</w:t>
            </w:r>
          </w:p>
        </w:tc>
        <w:tc>
          <w:tcPr>
            <w:tcW w:w="1300" w:type="dxa"/>
            <w:tcBorders>
              <w:top w:val="single" w:sz="8" w:space="0" w:color="auto"/>
              <w:left w:val="nil"/>
              <w:bottom w:val="single" w:sz="4" w:space="0" w:color="auto"/>
              <w:right w:val="nil"/>
            </w:tcBorders>
            <w:shd w:val="clear" w:color="auto" w:fill="auto"/>
            <w:noWrap/>
            <w:vAlign w:val="bottom"/>
            <w:hideMark/>
          </w:tcPr>
          <w:p w14:paraId="1CC3093C" w14:textId="77777777" w:rsidR="001F27DD" w:rsidRPr="0095004E" w:rsidRDefault="001F27DD" w:rsidP="006D2DA3">
            <w:pPr>
              <w:jc w:val="center"/>
              <w:rPr>
                <w:i/>
                <w:iCs/>
                <w:color w:val="000000"/>
                <w:sz w:val="20"/>
                <w:szCs w:val="20"/>
              </w:rPr>
            </w:pPr>
            <w:r w:rsidRPr="0095004E">
              <w:rPr>
                <w:i/>
                <w:iCs/>
                <w:color w:val="000000"/>
                <w:sz w:val="20"/>
                <w:szCs w:val="20"/>
              </w:rPr>
              <w:t>SMB</w:t>
            </w:r>
          </w:p>
        </w:tc>
        <w:tc>
          <w:tcPr>
            <w:tcW w:w="1540" w:type="dxa"/>
            <w:tcBorders>
              <w:top w:val="single" w:sz="8" w:space="0" w:color="auto"/>
              <w:left w:val="nil"/>
              <w:bottom w:val="single" w:sz="4" w:space="0" w:color="auto"/>
              <w:right w:val="nil"/>
            </w:tcBorders>
            <w:shd w:val="clear" w:color="auto" w:fill="auto"/>
            <w:noWrap/>
            <w:vAlign w:val="bottom"/>
            <w:hideMark/>
          </w:tcPr>
          <w:p w14:paraId="0145F215" w14:textId="77777777" w:rsidR="001F27DD" w:rsidRPr="0095004E" w:rsidRDefault="001F27DD" w:rsidP="006D2DA3">
            <w:pPr>
              <w:jc w:val="center"/>
              <w:rPr>
                <w:i/>
                <w:iCs/>
                <w:color w:val="000000"/>
                <w:sz w:val="20"/>
                <w:szCs w:val="20"/>
              </w:rPr>
            </w:pPr>
            <w:r w:rsidRPr="0095004E">
              <w:rPr>
                <w:i/>
                <w:iCs/>
                <w:color w:val="000000"/>
                <w:sz w:val="20"/>
                <w:szCs w:val="20"/>
              </w:rPr>
              <w:t>Rm-Rf</w:t>
            </w:r>
          </w:p>
        </w:tc>
      </w:tr>
      <w:tr w:rsidR="001F27DD" w:rsidRPr="00F30121" w14:paraId="7FEDDDD9" w14:textId="77777777" w:rsidTr="006D2DA3">
        <w:trPr>
          <w:trHeight w:val="320"/>
        </w:trPr>
        <w:tc>
          <w:tcPr>
            <w:tcW w:w="2580" w:type="dxa"/>
            <w:tcBorders>
              <w:top w:val="nil"/>
              <w:left w:val="nil"/>
              <w:bottom w:val="nil"/>
              <w:right w:val="nil"/>
            </w:tcBorders>
            <w:shd w:val="clear" w:color="auto" w:fill="auto"/>
            <w:noWrap/>
            <w:vAlign w:val="bottom"/>
            <w:hideMark/>
          </w:tcPr>
          <w:p w14:paraId="79676DF5" w14:textId="77777777" w:rsidR="001F27DD" w:rsidRPr="0095004E" w:rsidRDefault="001F27DD" w:rsidP="006D2DA3">
            <w:pPr>
              <w:rPr>
                <w:color w:val="000000"/>
                <w:sz w:val="20"/>
                <w:szCs w:val="20"/>
              </w:rPr>
            </w:pPr>
            <w:r w:rsidRPr="0095004E">
              <w:rPr>
                <w:color w:val="000000"/>
                <w:sz w:val="20"/>
                <w:szCs w:val="20"/>
              </w:rPr>
              <w:t>Mean</w:t>
            </w:r>
          </w:p>
        </w:tc>
        <w:tc>
          <w:tcPr>
            <w:tcW w:w="1580" w:type="dxa"/>
            <w:tcBorders>
              <w:top w:val="nil"/>
              <w:left w:val="nil"/>
              <w:bottom w:val="nil"/>
              <w:right w:val="nil"/>
            </w:tcBorders>
            <w:shd w:val="clear" w:color="auto" w:fill="auto"/>
            <w:noWrap/>
            <w:vAlign w:val="bottom"/>
            <w:hideMark/>
          </w:tcPr>
          <w:p w14:paraId="0FF23B3B" w14:textId="77777777" w:rsidR="001F27DD" w:rsidRPr="0095004E" w:rsidRDefault="001F27DD" w:rsidP="006D2DA3">
            <w:pPr>
              <w:jc w:val="right"/>
              <w:rPr>
                <w:color w:val="000000"/>
                <w:sz w:val="20"/>
                <w:szCs w:val="20"/>
              </w:rPr>
            </w:pPr>
            <w:r w:rsidRPr="0095004E">
              <w:rPr>
                <w:color w:val="000000"/>
                <w:sz w:val="20"/>
                <w:szCs w:val="20"/>
              </w:rPr>
              <w:t>1.584583333</w:t>
            </w:r>
          </w:p>
        </w:tc>
        <w:tc>
          <w:tcPr>
            <w:tcW w:w="1540" w:type="dxa"/>
            <w:tcBorders>
              <w:top w:val="nil"/>
              <w:left w:val="nil"/>
              <w:bottom w:val="nil"/>
              <w:right w:val="nil"/>
            </w:tcBorders>
            <w:shd w:val="clear" w:color="auto" w:fill="auto"/>
            <w:noWrap/>
            <w:vAlign w:val="bottom"/>
            <w:hideMark/>
          </w:tcPr>
          <w:p w14:paraId="5AD6F736" w14:textId="77777777" w:rsidR="001F27DD" w:rsidRPr="0095004E" w:rsidRDefault="001F27DD" w:rsidP="006D2DA3">
            <w:pPr>
              <w:jc w:val="right"/>
              <w:rPr>
                <w:color w:val="000000"/>
                <w:sz w:val="20"/>
                <w:szCs w:val="20"/>
              </w:rPr>
            </w:pPr>
            <w:r w:rsidRPr="0095004E">
              <w:rPr>
                <w:color w:val="000000"/>
                <w:sz w:val="20"/>
                <w:szCs w:val="20"/>
              </w:rPr>
              <w:t>0.077604167</w:t>
            </w:r>
          </w:p>
        </w:tc>
        <w:tc>
          <w:tcPr>
            <w:tcW w:w="1300" w:type="dxa"/>
            <w:tcBorders>
              <w:top w:val="nil"/>
              <w:left w:val="nil"/>
              <w:bottom w:val="nil"/>
              <w:right w:val="nil"/>
            </w:tcBorders>
            <w:shd w:val="clear" w:color="auto" w:fill="auto"/>
            <w:noWrap/>
            <w:vAlign w:val="bottom"/>
            <w:hideMark/>
          </w:tcPr>
          <w:p w14:paraId="03D6B5FA" w14:textId="77777777" w:rsidR="001F27DD" w:rsidRPr="0095004E" w:rsidRDefault="001F27DD" w:rsidP="006D2DA3">
            <w:pPr>
              <w:jc w:val="right"/>
              <w:rPr>
                <w:color w:val="000000"/>
                <w:sz w:val="20"/>
                <w:szCs w:val="20"/>
              </w:rPr>
            </w:pPr>
            <w:r w:rsidRPr="0095004E">
              <w:rPr>
                <w:color w:val="000000"/>
                <w:sz w:val="20"/>
                <w:szCs w:val="20"/>
              </w:rPr>
              <w:t>0.52989583</w:t>
            </w:r>
          </w:p>
        </w:tc>
        <w:tc>
          <w:tcPr>
            <w:tcW w:w="1540" w:type="dxa"/>
            <w:tcBorders>
              <w:top w:val="nil"/>
              <w:left w:val="nil"/>
              <w:bottom w:val="nil"/>
              <w:right w:val="nil"/>
            </w:tcBorders>
            <w:shd w:val="clear" w:color="auto" w:fill="auto"/>
            <w:noWrap/>
            <w:vAlign w:val="bottom"/>
            <w:hideMark/>
          </w:tcPr>
          <w:p w14:paraId="5F0FE5C0" w14:textId="77777777" w:rsidR="001F27DD" w:rsidRPr="0095004E" w:rsidRDefault="001F27DD" w:rsidP="006D2DA3">
            <w:pPr>
              <w:jc w:val="right"/>
              <w:rPr>
                <w:color w:val="000000"/>
                <w:sz w:val="20"/>
                <w:szCs w:val="20"/>
              </w:rPr>
            </w:pPr>
            <w:r w:rsidRPr="0095004E">
              <w:rPr>
                <w:color w:val="000000"/>
                <w:sz w:val="20"/>
                <w:szCs w:val="20"/>
              </w:rPr>
              <w:t>1.0565625</w:t>
            </w:r>
          </w:p>
        </w:tc>
      </w:tr>
      <w:tr w:rsidR="001F27DD" w:rsidRPr="00F30121" w14:paraId="35F3C9B3" w14:textId="77777777" w:rsidTr="006D2DA3">
        <w:trPr>
          <w:trHeight w:val="320"/>
        </w:trPr>
        <w:tc>
          <w:tcPr>
            <w:tcW w:w="2580" w:type="dxa"/>
            <w:tcBorders>
              <w:top w:val="nil"/>
              <w:left w:val="nil"/>
              <w:bottom w:val="nil"/>
              <w:right w:val="nil"/>
            </w:tcBorders>
            <w:shd w:val="clear" w:color="auto" w:fill="auto"/>
            <w:noWrap/>
            <w:vAlign w:val="bottom"/>
            <w:hideMark/>
          </w:tcPr>
          <w:p w14:paraId="6364CBA3" w14:textId="77777777" w:rsidR="001F27DD" w:rsidRPr="0095004E" w:rsidRDefault="001F27DD" w:rsidP="006D2DA3">
            <w:pPr>
              <w:rPr>
                <w:color w:val="000000"/>
                <w:sz w:val="20"/>
                <w:szCs w:val="20"/>
              </w:rPr>
            </w:pPr>
            <w:r w:rsidRPr="0095004E">
              <w:rPr>
                <w:color w:val="000000"/>
                <w:sz w:val="20"/>
                <w:szCs w:val="20"/>
              </w:rPr>
              <w:t>Standard Error</w:t>
            </w:r>
          </w:p>
        </w:tc>
        <w:tc>
          <w:tcPr>
            <w:tcW w:w="1580" w:type="dxa"/>
            <w:tcBorders>
              <w:top w:val="nil"/>
              <w:left w:val="nil"/>
              <w:bottom w:val="nil"/>
              <w:right w:val="nil"/>
            </w:tcBorders>
            <w:shd w:val="clear" w:color="auto" w:fill="auto"/>
            <w:noWrap/>
            <w:vAlign w:val="bottom"/>
            <w:hideMark/>
          </w:tcPr>
          <w:p w14:paraId="2CE50528" w14:textId="77777777" w:rsidR="001F27DD" w:rsidRPr="0095004E" w:rsidRDefault="001F27DD" w:rsidP="006D2DA3">
            <w:pPr>
              <w:jc w:val="right"/>
              <w:rPr>
                <w:color w:val="000000"/>
                <w:sz w:val="20"/>
                <w:szCs w:val="20"/>
              </w:rPr>
            </w:pPr>
            <w:r w:rsidRPr="0095004E">
              <w:rPr>
                <w:color w:val="000000"/>
                <w:sz w:val="20"/>
                <w:szCs w:val="20"/>
              </w:rPr>
              <w:t>0.911490188</w:t>
            </w:r>
          </w:p>
        </w:tc>
        <w:tc>
          <w:tcPr>
            <w:tcW w:w="1540" w:type="dxa"/>
            <w:tcBorders>
              <w:top w:val="nil"/>
              <w:left w:val="nil"/>
              <w:bottom w:val="nil"/>
              <w:right w:val="nil"/>
            </w:tcBorders>
            <w:shd w:val="clear" w:color="auto" w:fill="auto"/>
            <w:noWrap/>
            <w:vAlign w:val="bottom"/>
            <w:hideMark/>
          </w:tcPr>
          <w:p w14:paraId="69039A4F" w14:textId="77777777" w:rsidR="001F27DD" w:rsidRPr="0095004E" w:rsidRDefault="001F27DD" w:rsidP="006D2DA3">
            <w:pPr>
              <w:jc w:val="right"/>
              <w:rPr>
                <w:color w:val="000000"/>
                <w:sz w:val="20"/>
                <w:szCs w:val="20"/>
              </w:rPr>
            </w:pPr>
            <w:r w:rsidRPr="0095004E">
              <w:rPr>
                <w:color w:val="000000"/>
                <w:sz w:val="20"/>
                <w:szCs w:val="20"/>
              </w:rPr>
              <w:t>0.369064807</w:t>
            </w:r>
          </w:p>
        </w:tc>
        <w:tc>
          <w:tcPr>
            <w:tcW w:w="1300" w:type="dxa"/>
            <w:tcBorders>
              <w:top w:val="nil"/>
              <w:left w:val="nil"/>
              <w:bottom w:val="nil"/>
              <w:right w:val="nil"/>
            </w:tcBorders>
            <w:shd w:val="clear" w:color="auto" w:fill="auto"/>
            <w:noWrap/>
            <w:vAlign w:val="bottom"/>
            <w:hideMark/>
          </w:tcPr>
          <w:p w14:paraId="4A43AD2E" w14:textId="77777777" w:rsidR="001F27DD" w:rsidRPr="0095004E" w:rsidRDefault="001F27DD" w:rsidP="006D2DA3">
            <w:pPr>
              <w:jc w:val="right"/>
              <w:rPr>
                <w:color w:val="000000"/>
                <w:sz w:val="20"/>
                <w:szCs w:val="20"/>
              </w:rPr>
            </w:pPr>
            <w:r w:rsidRPr="0095004E">
              <w:rPr>
                <w:color w:val="000000"/>
                <w:sz w:val="20"/>
                <w:szCs w:val="20"/>
              </w:rPr>
              <w:t>0.51057004</w:t>
            </w:r>
          </w:p>
        </w:tc>
        <w:tc>
          <w:tcPr>
            <w:tcW w:w="1540" w:type="dxa"/>
            <w:tcBorders>
              <w:top w:val="nil"/>
              <w:left w:val="nil"/>
              <w:bottom w:val="nil"/>
              <w:right w:val="nil"/>
            </w:tcBorders>
            <w:shd w:val="clear" w:color="auto" w:fill="auto"/>
            <w:noWrap/>
            <w:vAlign w:val="bottom"/>
            <w:hideMark/>
          </w:tcPr>
          <w:p w14:paraId="21578771" w14:textId="77777777" w:rsidR="001F27DD" w:rsidRPr="0095004E" w:rsidRDefault="001F27DD" w:rsidP="006D2DA3">
            <w:pPr>
              <w:jc w:val="right"/>
              <w:rPr>
                <w:color w:val="000000"/>
                <w:sz w:val="20"/>
                <w:szCs w:val="20"/>
              </w:rPr>
            </w:pPr>
            <w:r w:rsidRPr="0095004E">
              <w:rPr>
                <w:color w:val="000000"/>
                <w:sz w:val="20"/>
                <w:szCs w:val="20"/>
              </w:rPr>
              <w:t>0.91527989</w:t>
            </w:r>
          </w:p>
        </w:tc>
      </w:tr>
      <w:tr w:rsidR="001F27DD" w:rsidRPr="00F30121" w14:paraId="6F3CC460" w14:textId="77777777" w:rsidTr="006D2DA3">
        <w:trPr>
          <w:trHeight w:val="320"/>
        </w:trPr>
        <w:tc>
          <w:tcPr>
            <w:tcW w:w="2580" w:type="dxa"/>
            <w:tcBorders>
              <w:top w:val="nil"/>
              <w:left w:val="nil"/>
              <w:bottom w:val="nil"/>
              <w:right w:val="nil"/>
            </w:tcBorders>
            <w:shd w:val="clear" w:color="auto" w:fill="auto"/>
            <w:noWrap/>
            <w:vAlign w:val="bottom"/>
            <w:hideMark/>
          </w:tcPr>
          <w:p w14:paraId="648DB516" w14:textId="77777777" w:rsidR="001F27DD" w:rsidRPr="0095004E" w:rsidRDefault="001F27DD" w:rsidP="006D2DA3">
            <w:pPr>
              <w:rPr>
                <w:color w:val="000000"/>
                <w:sz w:val="20"/>
                <w:szCs w:val="20"/>
              </w:rPr>
            </w:pPr>
            <w:r w:rsidRPr="0095004E">
              <w:rPr>
                <w:color w:val="000000"/>
                <w:sz w:val="20"/>
                <w:szCs w:val="20"/>
              </w:rPr>
              <w:t>Median</w:t>
            </w:r>
          </w:p>
        </w:tc>
        <w:tc>
          <w:tcPr>
            <w:tcW w:w="1580" w:type="dxa"/>
            <w:tcBorders>
              <w:top w:val="nil"/>
              <w:left w:val="nil"/>
              <w:bottom w:val="nil"/>
              <w:right w:val="nil"/>
            </w:tcBorders>
            <w:shd w:val="clear" w:color="auto" w:fill="auto"/>
            <w:noWrap/>
            <w:vAlign w:val="bottom"/>
            <w:hideMark/>
          </w:tcPr>
          <w:p w14:paraId="2B68FDC3" w14:textId="77777777" w:rsidR="001F27DD" w:rsidRPr="0095004E" w:rsidRDefault="001F27DD" w:rsidP="006D2DA3">
            <w:pPr>
              <w:jc w:val="right"/>
              <w:rPr>
                <w:color w:val="000000"/>
                <w:sz w:val="20"/>
                <w:szCs w:val="20"/>
              </w:rPr>
            </w:pPr>
            <w:r w:rsidRPr="0095004E">
              <w:rPr>
                <w:color w:val="000000"/>
                <w:sz w:val="20"/>
                <w:szCs w:val="20"/>
              </w:rPr>
              <w:t>1.585</w:t>
            </w:r>
          </w:p>
        </w:tc>
        <w:tc>
          <w:tcPr>
            <w:tcW w:w="1540" w:type="dxa"/>
            <w:tcBorders>
              <w:top w:val="nil"/>
              <w:left w:val="nil"/>
              <w:bottom w:val="nil"/>
              <w:right w:val="nil"/>
            </w:tcBorders>
            <w:shd w:val="clear" w:color="auto" w:fill="auto"/>
            <w:noWrap/>
            <w:vAlign w:val="bottom"/>
            <w:hideMark/>
          </w:tcPr>
          <w:p w14:paraId="75DBE379" w14:textId="77777777" w:rsidR="001F27DD" w:rsidRPr="0095004E" w:rsidRDefault="001F27DD" w:rsidP="006D2DA3">
            <w:pPr>
              <w:jc w:val="right"/>
              <w:rPr>
                <w:color w:val="000000"/>
                <w:sz w:val="20"/>
                <w:szCs w:val="20"/>
              </w:rPr>
            </w:pPr>
            <w:r w:rsidRPr="0095004E">
              <w:rPr>
                <w:color w:val="000000"/>
                <w:sz w:val="20"/>
                <w:szCs w:val="20"/>
              </w:rPr>
              <w:t>-0.43</w:t>
            </w:r>
          </w:p>
        </w:tc>
        <w:tc>
          <w:tcPr>
            <w:tcW w:w="1300" w:type="dxa"/>
            <w:tcBorders>
              <w:top w:val="nil"/>
              <w:left w:val="nil"/>
              <w:bottom w:val="nil"/>
              <w:right w:val="nil"/>
            </w:tcBorders>
            <w:shd w:val="clear" w:color="auto" w:fill="auto"/>
            <w:noWrap/>
            <w:vAlign w:val="bottom"/>
            <w:hideMark/>
          </w:tcPr>
          <w:p w14:paraId="0FB29DA9" w14:textId="77777777" w:rsidR="001F27DD" w:rsidRPr="0095004E" w:rsidRDefault="001F27DD" w:rsidP="006D2DA3">
            <w:pPr>
              <w:jc w:val="right"/>
              <w:rPr>
                <w:color w:val="000000"/>
                <w:sz w:val="20"/>
                <w:szCs w:val="20"/>
              </w:rPr>
            </w:pPr>
            <w:r w:rsidRPr="0095004E">
              <w:rPr>
                <w:color w:val="000000"/>
                <w:sz w:val="20"/>
                <w:szCs w:val="20"/>
              </w:rPr>
              <w:t>-0.035</w:t>
            </w:r>
          </w:p>
        </w:tc>
        <w:tc>
          <w:tcPr>
            <w:tcW w:w="1540" w:type="dxa"/>
            <w:tcBorders>
              <w:top w:val="nil"/>
              <w:left w:val="nil"/>
              <w:bottom w:val="nil"/>
              <w:right w:val="nil"/>
            </w:tcBorders>
            <w:shd w:val="clear" w:color="auto" w:fill="auto"/>
            <w:noWrap/>
            <w:vAlign w:val="bottom"/>
            <w:hideMark/>
          </w:tcPr>
          <w:p w14:paraId="525703E2" w14:textId="77777777" w:rsidR="001F27DD" w:rsidRPr="0095004E" w:rsidRDefault="001F27DD" w:rsidP="006D2DA3">
            <w:pPr>
              <w:jc w:val="right"/>
              <w:rPr>
                <w:color w:val="000000"/>
                <w:sz w:val="20"/>
                <w:szCs w:val="20"/>
              </w:rPr>
            </w:pPr>
            <w:r w:rsidRPr="0095004E">
              <w:rPr>
                <w:color w:val="000000"/>
                <w:sz w:val="20"/>
                <w:szCs w:val="20"/>
              </w:rPr>
              <w:t>1.115</w:t>
            </w:r>
          </w:p>
        </w:tc>
      </w:tr>
      <w:tr w:rsidR="001F27DD" w:rsidRPr="00F30121" w14:paraId="3C4F0F5F" w14:textId="77777777" w:rsidTr="006D2DA3">
        <w:trPr>
          <w:trHeight w:val="320"/>
        </w:trPr>
        <w:tc>
          <w:tcPr>
            <w:tcW w:w="2580" w:type="dxa"/>
            <w:tcBorders>
              <w:top w:val="nil"/>
              <w:left w:val="nil"/>
              <w:bottom w:val="nil"/>
              <w:right w:val="nil"/>
            </w:tcBorders>
            <w:shd w:val="clear" w:color="auto" w:fill="auto"/>
            <w:noWrap/>
            <w:vAlign w:val="bottom"/>
            <w:hideMark/>
          </w:tcPr>
          <w:p w14:paraId="09467776" w14:textId="77777777" w:rsidR="001F27DD" w:rsidRPr="0095004E" w:rsidRDefault="001F27DD" w:rsidP="006D2DA3">
            <w:pPr>
              <w:rPr>
                <w:color w:val="000000"/>
                <w:sz w:val="20"/>
                <w:szCs w:val="20"/>
              </w:rPr>
            </w:pPr>
            <w:r w:rsidRPr="0095004E">
              <w:rPr>
                <w:color w:val="000000"/>
                <w:sz w:val="20"/>
                <w:szCs w:val="20"/>
              </w:rPr>
              <w:t>Mode</w:t>
            </w:r>
          </w:p>
        </w:tc>
        <w:tc>
          <w:tcPr>
            <w:tcW w:w="1580" w:type="dxa"/>
            <w:tcBorders>
              <w:top w:val="nil"/>
              <w:left w:val="nil"/>
              <w:bottom w:val="nil"/>
              <w:right w:val="nil"/>
            </w:tcBorders>
            <w:shd w:val="clear" w:color="auto" w:fill="auto"/>
            <w:noWrap/>
            <w:vAlign w:val="bottom"/>
            <w:hideMark/>
          </w:tcPr>
          <w:p w14:paraId="6F61A296" w14:textId="77777777" w:rsidR="001F27DD" w:rsidRPr="0095004E" w:rsidRDefault="001F27DD" w:rsidP="006D2DA3">
            <w:pPr>
              <w:jc w:val="right"/>
              <w:rPr>
                <w:color w:val="000000"/>
                <w:sz w:val="20"/>
                <w:szCs w:val="20"/>
              </w:rPr>
            </w:pPr>
            <w:r w:rsidRPr="0095004E">
              <w:rPr>
                <w:color w:val="000000"/>
                <w:sz w:val="20"/>
                <w:szCs w:val="20"/>
              </w:rPr>
              <w:t>0.5</w:t>
            </w:r>
          </w:p>
        </w:tc>
        <w:tc>
          <w:tcPr>
            <w:tcW w:w="1540" w:type="dxa"/>
            <w:tcBorders>
              <w:top w:val="nil"/>
              <w:left w:val="nil"/>
              <w:bottom w:val="nil"/>
              <w:right w:val="nil"/>
            </w:tcBorders>
            <w:shd w:val="clear" w:color="auto" w:fill="auto"/>
            <w:noWrap/>
            <w:vAlign w:val="bottom"/>
            <w:hideMark/>
          </w:tcPr>
          <w:p w14:paraId="0FA74197" w14:textId="77777777" w:rsidR="001F27DD" w:rsidRPr="0095004E" w:rsidRDefault="001F27DD" w:rsidP="006D2DA3">
            <w:pPr>
              <w:jc w:val="right"/>
              <w:rPr>
                <w:color w:val="000000"/>
                <w:sz w:val="20"/>
                <w:szCs w:val="20"/>
              </w:rPr>
            </w:pPr>
            <w:r w:rsidRPr="0095004E">
              <w:rPr>
                <w:color w:val="000000"/>
                <w:sz w:val="20"/>
                <w:szCs w:val="20"/>
              </w:rPr>
              <w:t>-0.44</w:t>
            </w:r>
          </w:p>
        </w:tc>
        <w:tc>
          <w:tcPr>
            <w:tcW w:w="1300" w:type="dxa"/>
            <w:tcBorders>
              <w:top w:val="nil"/>
              <w:left w:val="nil"/>
              <w:bottom w:val="nil"/>
              <w:right w:val="nil"/>
            </w:tcBorders>
            <w:shd w:val="clear" w:color="auto" w:fill="auto"/>
            <w:noWrap/>
            <w:vAlign w:val="bottom"/>
            <w:hideMark/>
          </w:tcPr>
          <w:p w14:paraId="1E8C0351" w14:textId="77777777" w:rsidR="001F27DD" w:rsidRPr="0095004E" w:rsidRDefault="001F27DD" w:rsidP="006D2DA3">
            <w:pPr>
              <w:jc w:val="right"/>
              <w:rPr>
                <w:color w:val="000000"/>
                <w:sz w:val="20"/>
                <w:szCs w:val="20"/>
              </w:rPr>
            </w:pPr>
            <w:r w:rsidRPr="0095004E">
              <w:rPr>
                <w:color w:val="000000"/>
                <w:sz w:val="20"/>
                <w:szCs w:val="20"/>
              </w:rPr>
              <w:t>5.99</w:t>
            </w:r>
          </w:p>
        </w:tc>
        <w:tc>
          <w:tcPr>
            <w:tcW w:w="1540" w:type="dxa"/>
            <w:tcBorders>
              <w:top w:val="nil"/>
              <w:left w:val="nil"/>
              <w:bottom w:val="nil"/>
              <w:right w:val="nil"/>
            </w:tcBorders>
            <w:shd w:val="clear" w:color="auto" w:fill="auto"/>
            <w:noWrap/>
            <w:vAlign w:val="bottom"/>
            <w:hideMark/>
          </w:tcPr>
          <w:p w14:paraId="7C67FC82" w14:textId="77777777" w:rsidR="001F27DD" w:rsidRPr="0095004E" w:rsidRDefault="001F27DD" w:rsidP="006D2DA3">
            <w:pPr>
              <w:jc w:val="center"/>
              <w:rPr>
                <w:color w:val="000000"/>
                <w:sz w:val="20"/>
                <w:szCs w:val="20"/>
              </w:rPr>
            </w:pPr>
            <w:r w:rsidRPr="0095004E">
              <w:rPr>
                <w:color w:val="000000"/>
                <w:sz w:val="20"/>
                <w:szCs w:val="20"/>
              </w:rPr>
              <w:t>#N/A</w:t>
            </w:r>
          </w:p>
        </w:tc>
      </w:tr>
      <w:tr w:rsidR="001F27DD" w:rsidRPr="00F30121" w14:paraId="08B7F545" w14:textId="77777777" w:rsidTr="006D2DA3">
        <w:trPr>
          <w:trHeight w:val="320"/>
        </w:trPr>
        <w:tc>
          <w:tcPr>
            <w:tcW w:w="2580" w:type="dxa"/>
            <w:tcBorders>
              <w:top w:val="nil"/>
              <w:left w:val="nil"/>
              <w:bottom w:val="nil"/>
              <w:right w:val="nil"/>
            </w:tcBorders>
            <w:shd w:val="clear" w:color="auto" w:fill="auto"/>
            <w:noWrap/>
            <w:vAlign w:val="bottom"/>
            <w:hideMark/>
          </w:tcPr>
          <w:p w14:paraId="400D8B00" w14:textId="77777777" w:rsidR="001F27DD" w:rsidRPr="0095004E" w:rsidRDefault="001F27DD" w:rsidP="006D2DA3">
            <w:pPr>
              <w:rPr>
                <w:color w:val="000000"/>
                <w:sz w:val="20"/>
                <w:szCs w:val="20"/>
              </w:rPr>
            </w:pPr>
            <w:r w:rsidRPr="0095004E">
              <w:rPr>
                <w:color w:val="000000"/>
                <w:sz w:val="20"/>
                <w:szCs w:val="20"/>
              </w:rPr>
              <w:t>Standard Deviation</w:t>
            </w:r>
          </w:p>
        </w:tc>
        <w:tc>
          <w:tcPr>
            <w:tcW w:w="1580" w:type="dxa"/>
            <w:tcBorders>
              <w:top w:val="nil"/>
              <w:left w:val="nil"/>
              <w:bottom w:val="nil"/>
              <w:right w:val="nil"/>
            </w:tcBorders>
            <w:shd w:val="clear" w:color="auto" w:fill="auto"/>
            <w:noWrap/>
            <w:vAlign w:val="bottom"/>
            <w:hideMark/>
          </w:tcPr>
          <w:p w14:paraId="629A5085" w14:textId="77777777" w:rsidR="001F27DD" w:rsidRPr="0095004E" w:rsidRDefault="001F27DD" w:rsidP="006D2DA3">
            <w:pPr>
              <w:jc w:val="right"/>
              <w:rPr>
                <w:color w:val="000000"/>
                <w:sz w:val="20"/>
                <w:szCs w:val="20"/>
              </w:rPr>
            </w:pPr>
            <w:r w:rsidRPr="0095004E">
              <w:rPr>
                <w:color w:val="000000"/>
                <w:sz w:val="20"/>
                <w:szCs w:val="20"/>
              </w:rPr>
              <w:t>8.930743461</w:t>
            </w:r>
          </w:p>
        </w:tc>
        <w:tc>
          <w:tcPr>
            <w:tcW w:w="1540" w:type="dxa"/>
            <w:tcBorders>
              <w:top w:val="nil"/>
              <w:left w:val="nil"/>
              <w:bottom w:val="nil"/>
              <w:right w:val="nil"/>
            </w:tcBorders>
            <w:shd w:val="clear" w:color="auto" w:fill="auto"/>
            <w:noWrap/>
            <w:vAlign w:val="bottom"/>
            <w:hideMark/>
          </w:tcPr>
          <w:p w14:paraId="550FF022" w14:textId="77777777" w:rsidR="001F27DD" w:rsidRPr="0095004E" w:rsidRDefault="001F27DD" w:rsidP="006D2DA3">
            <w:pPr>
              <w:jc w:val="right"/>
              <w:rPr>
                <w:color w:val="000000"/>
                <w:sz w:val="20"/>
                <w:szCs w:val="20"/>
              </w:rPr>
            </w:pPr>
            <w:r w:rsidRPr="0095004E">
              <w:rPr>
                <w:color w:val="000000"/>
                <w:sz w:val="20"/>
                <w:szCs w:val="20"/>
              </w:rPr>
              <w:t>3.616081841</w:t>
            </w:r>
          </w:p>
        </w:tc>
        <w:tc>
          <w:tcPr>
            <w:tcW w:w="1300" w:type="dxa"/>
            <w:tcBorders>
              <w:top w:val="nil"/>
              <w:left w:val="nil"/>
              <w:bottom w:val="nil"/>
              <w:right w:val="nil"/>
            </w:tcBorders>
            <w:shd w:val="clear" w:color="auto" w:fill="auto"/>
            <w:noWrap/>
            <w:vAlign w:val="bottom"/>
            <w:hideMark/>
          </w:tcPr>
          <w:p w14:paraId="5F7C1ED1" w14:textId="77777777" w:rsidR="001F27DD" w:rsidRPr="0095004E" w:rsidRDefault="001F27DD" w:rsidP="006D2DA3">
            <w:pPr>
              <w:jc w:val="right"/>
              <w:rPr>
                <w:color w:val="000000"/>
                <w:sz w:val="20"/>
                <w:szCs w:val="20"/>
              </w:rPr>
            </w:pPr>
            <w:r w:rsidRPr="0095004E">
              <w:rPr>
                <w:color w:val="000000"/>
                <w:sz w:val="20"/>
                <w:szCs w:val="20"/>
              </w:rPr>
              <w:t>5.0025443</w:t>
            </w:r>
          </w:p>
        </w:tc>
        <w:tc>
          <w:tcPr>
            <w:tcW w:w="1540" w:type="dxa"/>
            <w:tcBorders>
              <w:top w:val="nil"/>
              <w:left w:val="nil"/>
              <w:bottom w:val="nil"/>
              <w:right w:val="nil"/>
            </w:tcBorders>
            <w:shd w:val="clear" w:color="auto" w:fill="auto"/>
            <w:noWrap/>
            <w:vAlign w:val="bottom"/>
            <w:hideMark/>
          </w:tcPr>
          <w:p w14:paraId="37B7294B" w14:textId="77777777" w:rsidR="001F27DD" w:rsidRPr="0095004E" w:rsidRDefault="001F27DD" w:rsidP="006D2DA3">
            <w:pPr>
              <w:jc w:val="right"/>
              <w:rPr>
                <w:color w:val="000000"/>
                <w:sz w:val="20"/>
                <w:szCs w:val="20"/>
              </w:rPr>
            </w:pPr>
            <w:r w:rsidRPr="0095004E">
              <w:rPr>
                <w:color w:val="000000"/>
                <w:sz w:val="20"/>
                <w:szCs w:val="20"/>
              </w:rPr>
              <w:t>8.967874809</w:t>
            </w:r>
          </w:p>
        </w:tc>
      </w:tr>
      <w:tr w:rsidR="001F27DD" w:rsidRPr="00F30121" w14:paraId="41AA3857" w14:textId="77777777" w:rsidTr="006D2DA3">
        <w:trPr>
          <w:trHeight w:val="320"/>
        </w:trPr>
        <w:tc>
          <w:tcPr>
            <w:tcW w:w="2580" w:type="dxa"/>
            <w:tcBorders>
              <w:top w:val="nil"/>
              <w:left w:val="nil"/>
              <w:bottom w:val="nil"/>
              <w:right w:val="nil"/>
            </w:tcBorders>
            <w:shd w:val="clear" w:color="auto" w:fill="auto"/>
            <w:noWrap/>
            <w:vAlign w:val="bottom"/>
            <w:hideMark/>
          </w:tcPr>
          <w:p w14:paraId="14491570" w14:textId="77777777" w:rsidR="001F27DD" w:rsidRPr="0095004E" w:rsidRDefault="001F27DD" w:rsidP="006D2DA3">
            <w:pPr>
              <w:rPr>
                <w:color w:val="000000"/>
                <w:sz w:val="20"/>
                <w:szCs w:val="20"/>
              </w:rPr>
            </w:pPr>
            <w:r w:rsidRPr="0095004E">
              <w:rPr>
                <w:color w:val="000000"/>
                <w:sz w:val="20"/>
                <w:szCs w:val="20"/>
              </w:rPr>
              <w:t>Sample Variance</w:t>
            </w:r>
          </w:p>
        </w:tc>
        <w:tc>
          <w:tcPr>
            <w:tcW w:w="1580" w:type="dxa"/>
            <w:tcBorders>
              <w:top w:val="nil"/>
              <w:left w:val="nil"/>
              <w:bottom w:val="nil"/>
              <w:right w:val="nil"/>
            </w:tcBorders>
            <w:shd w:val="clear" w:color="auto" w:fill="auto"/>
            <w:noWrap/>
            <w:vAlign w:val="bottom"/>
            <w:hideMark/>
          </w:tcPr>
          <w:p w14:paraId="52C81419" w14:textId="77777777" w:rsidR="001F27DD" w:rsidRPr="0095004E" w:rsidRDefault="001F27DD" w:rsidP="006D2DA3">
            <w:pPr>
              <w:jc w:val="right"/>
              <w:rPr>
                <w:color w:val="000000"/>
                <w:sz w:val="20"/>
                <w:szCs w:val="20"/>
              </w:rPr>
            </w:pPr>
            <w:r w:rsidRPr="0095004E">
              <w:rPr>
                <w:color w:val="000000"/>
                <w:sz w:val="20"/>
                <w:szCs w:val="20"/>
              </w:rPr>
              <w:t>79.75817877</w:t>
            </w:r>
          </w:p>
        </w:tc>
        <w:tc>
          <w:tcPr>
            <w:tcW w:w="1540" w:type="dxa"/>
            <w:tcBorders>
              <w:top w:val="nil"/>
              <w:left w:val="nil"/>
              <w:bottom w:val="nil"/>
              <w:right w:val="nil"/>
            </w:tcBorders>
            <w:shd w:val="clear" w:color="auto" w:fill="auto"/>
            <w:noWrap/>
            <w:vAlign w:val="bottom"/>
            <w:hideMark/>
          </w:tcPr>
          <w:p w14:paraId="60B7D594" w14:textId="77777777" w:rsidR="001F27DD" w:rsidRPr="0095004E" w:rsidRDefault="001F27DD" w:rsidP="006D2DA3">
            <w:pPr>
              <w:jc w:val="right"/>
              <w:rPr>
                <w:color w:val="000000"/>
                <w:sz w:val="20"/>
                <w:szCs w:val="20"/>
              </w:rPr>
            </w:pPr>
            <w:r w:rsidRPr="0095004E">
              <w:rPr>
                <w:color w:val="000000"/>
                <w:sz w:val="20"/>
                <w:szCs w:val="20"/>
              </w:rPr>
              <w:t>13.07604788</w:t>
            </w:r>
          </w:p>
        </w:tc>
        <w:tc>
          <w:tcPr>
            <w:tcW w:w="1300" w:type="dxa"/>
            <w:tcBorders>
              <w:top w:val="nil"/>
              <w:left w:val="nil"/>
              <w:bottom w:val="nil"/>
              <w:right w:val="nil"/>
            </w:tcBorders>
            <w:shd w:val="clear" w:color="auto" w:fill="auto"/>
            <w:noWrap/>
            <w:vAlign w:val="bottom"/>
            <w:hideMark/>
          </w:tcPr>
          <w:p w14:paraId="07896815" w14:textId="77777777" w:rsidR="001F27DD" w:rsidRPr="0095004E" w:rsidRDefault="001F27DD" w:rsidP="006D2DA3">
            <w:pPr>
              <w:jc w:val="right"/>
              <w:rPr>
                <w:color w:val="000000"/>
                <w:sz w:val="20"/>
                <w:szCs w:val="20"/>
              </w:rPr>
            </w:pPr>
            <w:r w:rsidRPr="0095004E">
              <w:rPr>
                <w:color w:val="000000"/>
                <w:sz w:val="20"/>
                <w:szCs w:val="20"/>
              </w:rPr>
              <w:t>25.0254495</w:t>
            </w:r>
          </w:p>
        </w:tc>
        <w:tc>
          <w:tcPr>
            <w:tcW w:w="1540" w:type="dxa"/>
            <w:tcBorders>
              <w:top w:val="nil"/>
              <w:left w:val="nil"/>
              <w:bottom w:val="nil"/>
              <w:right w:val="nil"/>
            </w:tcBorders>
            <w:shd w:val="clear" w:color="auto" w:fill="auto"/>
            <w:noWrap/>
            <w:vAlign w:val="bottom"/>
            <w:hideMark/>
          </w:tcPr>
          <w:p w14:paraId="3D6AB4E3" w14:textId="77777777" w:rsidR="001F27DD" w:rsidRPr="0095004E" w:rsidRDefault="001F27DD" w:rsidP="006D2DA3">
            <w:pPr>
              <w:jc w:val="right"/>
              <w:rPr>
                <w:color w:val="000000"/>
                <w:sz w:val="20"/>
                <w:szCs w:val="20"/>
              </w:rPr>
            </w:pPr>
            <w:r w:rsidRPr="0095004E">
              <w:rPr>
                <w:color w:val="000000"/>
                <w:sz w:val="20"/>
                <w:szCs w:val="20"/>
              </w:rPr>
              <w:t>80.42277859</w:t>
            </w:r>
          </w:p>
        </w:tc>
      </w:tr>
      <w:tr w:rsidR="001F27DD" w:rsidRPr="00F30121" w14:paraId="14110D53" w14:textId="77777777" w:rsidTr="006D2DA3">
        <w:trPr>
          <w:trHeight w:val="320"/>
        </w:trPr>
        <w:tc>
          <w:tcPr>
            <w:tcW w:w="2580" w:type="dxa"/>
            <w:tcBorders>
              <w:top w:val="nil"/>
              <w:left w:val="nil"/>
              <w:bottom w:val="nil"/>
              <w:right w:val="nil"/>
            </w:tcBorders>
            <w:shd w:val="clear" w:color="auto" w:fill="auto"/>
            <w:noWrap/>
            <w:vAlign w:val="bottom"/>
            <w:hideMark/>
          </w:tcPr>
          <w:p w14:paraId="3A402D35" w14:textId="77777777" w:rsidR="001F27DD" w:rsidRPr="0095004E" w:rsidRDefault="001F27DD" w:rsidP="006D2DA3">
            <w:pPr>
              <w:rPr>
                <w:color w:val="000000"/>
                <w:sz w:val="20"/>
                <w:szCs w:val="20"/>
              </w:rPr>
            </w:pPr>
            <w:r w:rsidRPr="0095004E">
              <w:rPr>
                <w:color w:val="000000"/>
                <w:sz w:val="20"/>
                <w:szCs w:val="20"/>
              </w:rPr>
              <w:t>Kurtosis</w:t>
            </w:r>
          </w:p>
        </w:tc>
        <w:tc>
          <w:tcPr>
            <w:tcW w:w="1580" w:type="dxa"/>
            <w:tcBorders>
              <w:top w:val="nil"/>
              <w:left w:val="nil"/>
              <w:bottom w:val="nil"/>
              <w:right w:val="nil"/>
            </w:tcBorders>
            <w:shd w:val="clear" w:color="auto" w:fill="auto"/>
            <w:noWrap/>
            <w:vAlign w:val="bottom"/>
            <w:hideMark/>
          </w:tcPr>
          <w:p w14:paraId="4B132EA8" w14:textId="77777777" w:rsidR="001F27DD" w:rsidRPr="0095004E" w:rsidRDefault="001F27DD" w:rsidP="006D2DA3">
            <w:pPr>
              <w:jc w:val="right"/>
              <w:rPr>
                <w:color w:val="000000"/>
                <w:sz w:val="20"/>
                <w:szCs w:val="20"/>
              </w:rPr>
            </w:pPr>
            <w:r w:rsidRPr="0095004E">
              <w:rPr>
                <w:color w:val="000000"/>
                <w:sz w:val="20"/>
                <w:szCs w:val="20"/>
              </w:rPr>
              <w:t>4.912954503</w:t>
            </w:r>
          </w:p>
        </w:tc>
        <w:tc>
          <w:tcPr>
            <w:tcW w:w="1540" w:type="dxa"/>
            <w:tcBorders>
              <w:top w:val="nil"/>
              <w:left w:val="nil"/>
              <w:bottom w:val="nil"/>
              <w:right w:val="nil"/>
            </w:tcBorders>
            <w:shd w:val="clear" w:color="auto" w:fill="auto"/>
            <w:noWrap/>
            <w:vAlign w:val="bottom"/>
            <w:hideMark/>
          </w:tcPr>
          <w:p w14:paraId="39F1CC28" w14:textId="77777777" w:rsidR="001F27DD" w:rsidRPr="0095004E" w:rsidRDefault="001F27DD" w:rsidP="006D2DA3">
            <w:pPr>
              <w:jc w:val="right"/>
              <w:rPr>
                <w:color w:val="000000"/>
                <w:sz w:val="20"/>
                <w:szCs w:val="20"/>
              </w:rPr>
            </w:pPr>
            <w:r w:rsidRPr="0095004E">
              <w:rPr>
                <w:color w:val="000000"/>
                <w:sz w:val="20"/>
                <w:szCs w:val="20"/>
              </w:rPr>
              <w:t>0.93789715</w:t>
            </w:r>
          </w:p>
        </w:tc>
        <w:tc>
          <w:tcPr>
            <w:tcW w:w="1300" w:type="dxa"/>
            <w:tcBorders>
              <w:top w:val="nil"/>
              <w:left w:val="nil"/>
              <w:bottom w:val="nil"/>
              <w:right w:val="nil"/>
            </w:tcBorders>
            <w:shd w:val="clear" w:color="auto" w:fill="auto"/>
            <w:noWrap/>
            <w:vAlign w:val="bottom"/>
            <w:hideMark/>
          </w:tcPr>
          <w:p w14:paraId="0C31EE4E" w14:textId="77777777" w:rsidR="001F27DD" w:rsidRPr="0095004E" w:rsidRDefault="001F27DD" w:rsidP="006D2DA3">
            <w:pPr>
              <w:jc w:val="right"/>
              <w:rPr>
                <w:color w:val="000000"/>
                <w:sz w:val="20"/>
                <w:szCs w:val="20"/>
              </w:rPr>
            </w:pPr>
            <w:r w:rsidRPr="0095004E">
              <w:rPr>
                <w:color w:val="000000"/>
                <w:sz w:val="20"/>
                <w:szCs w:val="20"/>
              </w:rPr>
              <w:t>2.18473214</w:t>
            </w:r>
          </w:p>
        </w:tc>
        <w:tc>
          <w:tcPr>
            <w:tcW w:w="1540" w:type="dxa"/>
            <w:tcBorders>
              <w:top w:val="nil"/>
              <w:left w:val="nil"/>
              <w:bottom w:val="nil"/>
              <w:right w:val="nil"/>
            </w:tcBorders>
            <w:shd w:val="clear" w:color="auto" w:fill="auto"/>
            <w:noWrap/>
            <w:vAlign w:val="bottom"/>
            <w:hideMark/>
          </w:tcPr>
          <w:p w14:paraId="728FDCA8" w14:textId="77777777" w:rsidR="001F27DD" w:rsidRPr="0095004E" w:rsidRDefault="001F27DD" w:rsidP="006D2DA3">
            <w:pPr>
              <w:jc w:val="right"/>
              <w:rPr>
                <w:color w:val="000000"/>
                <w:sz w:val="20"/>
                <w:szCs w:val="20"/>
              </w:rPr>
            </w:pPr>
            <w:r w:rsidRPr="0095004E">
              <w:rPr>
                <w:color w:val="000000"/>
                <w:sz w:val="20"/>
                <w:szCs w:val="20"/>
              </w:rPr>
              <w:t>4.949891562</w:t>
            </w:r>
          </w:p>
        </w:tc>
      </w:tr>
      <w:tr w:rsidR="001F27DD" w:rsidRPr="00F30121" w14:paraId="06E086F5" w14:textId="77777777" w:rsidTr="006D2DA3">
        <w:trPr>
          <w:trHeight w:val="320"/>
        </w:trPr>
        <w:tc>
          <w:tcPr>
            <w:tcW w:w="2580" w:type="dxa"/>
            <w:tcBorders>
              <w:top w:val="nil"/>
              <w:left w:val="nil"/>
              <w:bottom w:val="nil"/>
              <w:right w:val="nil"/>
            </w:tcBorders>
            <w:shd w:val="clear" w:color="auto" w:fill="auto"/>
            <w:noWrap/>
            <w:vAlign w:val="bottom"/>
            <w:hideMark/>
          </w:tcPr>
          <w:p w14:paraId="6D38D907" w14:textId="77777777" w:rsidR="001F27DD" w:rsidRPr="0095004E" w:rsidRDefault="001F27DD" w:rsidP="006D2DA3">
            <w:pPr>
              <w:rPr>
                <w:color w:val="000000"/>
                <w:sz w:val="20"/>
                <w:szCs w:val="20"/>
              </w:rPr>
            </w:pPr>
            <w:r w:rsidRPr="0095004E">
              <w:rPr>
                <w:color w:val="000000"/>
                <w:sz w:val="20"/>
                <w:szCs w:val="20"/>
              </w:rPr>
              <w:t>Skewness</w:t>
            </w:r>
          </w:p>
        </w:tc>
        <w:tc>
          <w:tcPr>
            <w:tcW w:w="1580" w:type="dxa"/>
            <w:tcBorders>
              <w:top w:val="nil"/>
              <w:left w:val="nil"/>
              <w:bottom w:val="nil"/>
              <w:right w:val="nil"/>
            </w:tcBorders>
            <w:shd w:val="clear" w:color="auto" w:fill="auto"/>
            <w:noWrap/>
            <w:vAlign w:val="bottom"/>
            <w:hideMark/>
          </w:tcPr>
          <w:p w14:paraId="38EAE45E" w14:textId="77777777" w:rsidR="001F27DD" w:rsidRPr="0095004E" w:rsidRDefault="001F27DD" w:rsidP="006D2DA3">
            <w:pPr>
              <w:jc w:val="right"/>
              <w:rPr>
                <w:color w:val="000000"/>
                <w:sz w:val="20"/>
                <w:szCs w:val="20"/>
              </w:rPr>
            </w:pPr>
            <w:r w:rsidRPr="0095004E">
              <w:rPr>
                <w:color w:val="000000"/>
                <w:sz w:val="20"/>
                <w:szCs w:val="20"/>
              </w:rPr>
              <w:t>0.450713448</w:t>
            </w:r>
          </w:p>
        </w:tc>
        <w:tc>
          <w:tcPr>
            <w:tcW w:w="1540" w:type="dxa"/>
            <w:tcBorders>
              <w:top w:val="nil"/>
              <w:left w:val="nil"/>
              <w:bottom w:val="nil"/>
              <w:right w:val="nil"/>
            </w:tcBorders>
            <w:shd w:val="clear" w:color="auto" w:fill="auto"/>
            <w:noWrap/>
            <w:vAlign w:val="bottom"/>
            <w:hideMark/>
          </w:tcPr>
          <w:p w14:paraId="2647C9AF" w14:textId="77777777" w:rsidR="001F27DD" w:rsidRPr="0095004E" w:rsidRDefault="001F27DD" w:rsidP="006D2DA3">
            <w:pPr>
              <w:jc w:val="right"/>
              <w:rPr>
                <w:color w:val="000000"/>
                <w:sz w:val="20"/>
                <w:szCs w:val="20"/>
              </w:rPr>
            </w:pPr>
            <w:r w:rsidRPr="0095004E">
              <w:rPr>
                <w:color w:val="000000"/>
                <w:sz w:val="20"/>
                <w:szCs w:val="20"/>
              </w:rPr>
              <w:t>0.697475777</w:t>
            </w:r>
          </w:p>
        </w:tc>
        <w:tc>
          <w:tcPr>
            <w:tcW w:w="1300" w:type="dxa"/>
            <w:tcBorders>
              <w:top w:val="nil"/>
              <w:left w:val="nil"/>
              <w:bottom w:val="nil"/>
              <w:right w:val="nil"/>
            </w:tcBorders>
            <w:shd w:val="clear" w:color="auto" w:fill="auto"/>
            <w:noWrap/>
            <w:vAlign w:val="bottom"/>
            <w:hideMark/>
          </w:tcPr>
          <w:p w14:paraId="2B1108C1" w14:textId="77777777" w:rsidR="001F27DD" w:rsidRPr="0095004E" w:rsidRDefault="001F27DD" w:rsidP="006D2DA3">
            <w:pPr>
              <w:jc w:val="right"/>
              <w:rPr>
                <w:color w:val="000000"/>
                <w:sz w:val="20"/>
                <w:szCs w:val="20"/>
              </w:rPr>
            </w:pPr>
            <w:r w:rsidRPr="0095004E">
              <w:rPr>
                <w:color w:val="000000"/>
                <w:sz w:val="20"/>
                <w:szCs w:val="20"/>
              </w:rPr>
              <w:t>0.8585207</w:t>
            </w:r>
          </w:p>
        </w:tc>
        <w:tc>
          <w:tcPr>
            <w:tcW w:w="1540" w:type="dxa"/>
            <w:tcBorders>
              <w:top w:val="nil"/>
              <w:left w:val="nil"/>
              <w:bottom w:val="nil"/>
              <w:right w:val="nil"/>
            </w:tcBorders>
            <w:shd w:val="clear" w:color="auto" w:fill="auto"/>
            <w:noWrap/>
            <w:vAlign w:val="bottom"/>
            <w:hideMark/>
          </w:tcPr>
          <w:p w14:paraId="4789A735" w14:textId="77777777" w:rsidR="001F27DD" w:rsidRPr="0095004E" w:rsidRDefault="001F27DD" w:rsidP="006D2DA3">
            <w:pPr>
              <w:jc w:val="right"/>
              <w:rPr>
                <w:color w:val="000000"/>
                <w:sz w:val="20"/>
                <w:szCs w:val="20"/>
              </w:rPr>
            </w:pPr>
            <w:r w:rsidRPr="0095004E">
              <w:rPr>
                <w:color w:val="000000"/>
                <w:sz w:val="20"/>
                <w:szCs w:val="20"/>
              </w:rPr>
              <w:t>0.458149282</w:t>
            </w:r>
          </w:p>
        </w:tc>
      </w:tr>
      <w:tr w:rsidR="001F27DD" w:rsidRPr="00F30121" w14:paraId="5445FDCA" w14:textId="77777777" w:rsidTr="006D2DA3">
        <w:trPr>
          <w:trHeight w:val="320"/>
        </w:trPr>
        <w:tc>
          <w:tcPr>
            <w:tcW w:w="2580" w:type="dxa"/>
            <w:tcBorders>
              <w:top w:val="nil"/>
              <w:left w:val="nil"/>
              <w:bottom w:val="nil"/>
              <w:right w:val="nil"/>
            </w:tcBorders>
            <w:shd w:val="clear" w:color="auto" w:fill="auto"/>
            <w:noWrap/>
            <w:vAlign w:val="bottom"/>
            <w:hideMark/>
          </w:tcPr>
          <w:p w14:paraId="6EA60B4A" w14:textId="77777777" w:rsidR="001F27DD" w:rsidRPr="0095004E" w:rsidRDefault="001F27DD" w:rsidP="006D2DA3">
            <w:pPr>
              <w:rPr>
                <w:color w:val="000000"/>
                <w:sz w:val="20"/>
                <w:szCs w:val="20"/>
              </w:rPr>
            </w:pPr>
            <w:r w:rsidRPr="0095004E">
              <w:rPr>
                <w:color w:val="000000"/>
                <w:sz w:val="20"/>
                <w:szCs w:val="20"/>
              </w:rPr>
              <w:t>Range</w:t>
            </w:r>
          </w:p>
        </w:tc>
        <w:tc>
          <w:tcPr>
            <w:tcW w:w="1580" w:type="dxa"/>
            <w:tcBorders>
              <w:top w:val="nil"/>
              <w:left w:val="nil"/>
              <w:bottom w:val="nil"/>
              <w:right w:val="nil"/>
            </w:tcBorders>
            <w:shd w:val="clear" w:color="auto" w:fill="auto"/>
            <w:noWrap/>
            <w:vAlign w:val="bottom"/>
            <w:hideMark/>
          </w:tcPr>
          <w:p w14:paraId="730C0F1D" w14:textId="77777777" w:rsidR="001F27DD" w:rsidRPr="0095004E" w:rsidRDefault="001F27DD" w:rsidP="006D2DA3">
            <w:pPr>
              <w:jc w:val="right"/>
              <w:rPr>
                <w:color w:val="000000"/>
                <w:sz w:val="20"/>
                <w:szCs w:val="20"/>
              </w:rPr>
            </w:pPr>
            <w:r w:rsidRPr="0095004E">
              <w:rPr>
                <w:color w:val="000000"/>
                <w:sz w:val="20"/>
                <w:szCs w:val="20"/>
              </w:rPr>
              <w:t>71.87</w:t>
            </w:r>
          </w:p>
        </w:tc>
        <w:tc>
          <w:tcPr>
            <w:tcW w:w="1540" w:type="dxa"/>
            <w:tcBorders>
              <w:top w:val="nil"/>
              <w:left w:val="nil"/>
              <w:bottom w:val="nil"/>
              <w:right w:val="nil"/>
            </w:tcBorders>
            <w:shd w:val="clear" w:color="auto" w:fill="auto"/>
            <w:noWrap/>
            <w:vAlign w:val="bottom"/>
            <w:hideMark/>
          </w:tcPr>
          <w:p w14:paraId="30ACC7D8" w14:textId="77777777" w:rsidR="001F27DD" w:rsidRPr="0095004E" w:rsidRDefault="001F27DD" w:rsidP="006D2DA3">
            <w:pPr>
              <w:jc w:val="right"/>
              <w:rPr>
                <w:color w:val="000000"/>
                <w:sz w:val="20"/>
                <w:szCs w:val="20"/>
              </w:rPr>
            </w:pPr>
            <w:r w:rsidRPr="0095004E">
              <w:rPr>
                <w:color w:val="000000"/>
                <w:sz w:val="20"/>
                <w:szCs w:val="20"/>
              </w:rPr>
              <w:t>20.23</w:t>
            </w:r>
          </w:p>
        </w:tc>
        <w:tc>
          <w:tcPr>
            <w:tcW w:w="1300" w:type="dxa"/>
            <w:tcBorders>
              <w:top w:val="nil"/>
              <w:left w:val="nil"/>
              <w:bottom w:val="nil"/>
              <w:right w:val="nil"/>
            </w:tcBorders>
            <w:shd w:val="clear" w:color="auto" w:fill="auto"/>
            <w:noWrap/>
            <w:vAlign w:val="bottom"/>
            <w:hideMark/>
          </w:tcPr>
          <w:p w14:paraId="6F7B6A21" w14:textId="77777777" w:rsidR="001F27DD" w:rsidRPr="0095004E" w:rsidRDefault="001F27DD" w:rsidP="006D2DA3">
            <w:pPr>
              <w:jc w:val="right"/>
              <w:rPr>
                <w:color w:val="000000"/>
                <w:sz w:val="20"/>
                <w:szCs w:val="20"/>
              </w:rPr>
            </w:pPr>
            <w:r w:rsidRPr="0095004E">
              <w:rPr>
                <w:color w:val="000000"/>
                <w:sz w:val="20"/>
                <w:szCs w:val="20"/>
              </w:rPr>
              <w:t>28.62</w:t>
            </w:r>
          </w:p>
        </w:tc>
        <w:tc>
          <w:tcPr>
            <w:tcW w:w="1540" w:type="dxa"/>
            <w:tcBorders>
              <w:top w:val="nil"/>
              <w:left w:val="nil"/>
              <w:bottom w:val="nil"/>
              <w:right w:val="nil"/>
            </w:tcBorders>
            <w:shd w:val="clear" w:color="auto" w:fill="auto"/>
            <w:noWrap/>
            <w:vAlign w:val="bottom"/>
            <w:hideMark/>
          </w:tcPr>
          <w:p w14:paraId="6CA36AD2" w14:textId="77777777" w:rsidR="001F27DD" w:rsidRPr="0095004E" w:rsidRDefault="001F27DD" w:rsidP="006D2DA3">
            <w:pPr>
              <w:jc w:val="right"/>
              <w:rPr>
                <w:color w:val="000000"/>
                <w:sz w:val="20"/>
                <w:szCs w:val="20"/>
              </w:rPr>
            </w:pPr>
            <w:r w:rsidRPr="0095004E">
              <w:rPr>
                <w:color w:val="000000"/>
                <w:sz w:val="20"/>
                <w:szCs w:val="20"/>
              </w:rPr>
              <w:t>72.21</w:t>
            </w:r>
          </w:p>
        </w:tc>
      </w:tr>
      <w:tr w:rsidR="001F27DD" w:rsidRPr="00F30121" w14:paraId="2BE29225" w14:textId="77777777" w:rsidTr="006D2DA3">
        <w:trPr>
          <w:trHeight w:val="320"/>
        </w:trPr>
        <w:tc>
          <w:tcPr>
            <w:tcW w:w="2580" w:type="dxa"/>
            <w:tcBorders>
              <w:top w:val="nil"/>
              <w:left w:val="nil"/>
              <w:bottom w:val="nil"/>
              <w:right w:val="nil"/>
            </w:tcBorders>
            <w:shd w:val="clear" w:color="auto" w:fill="auto"/>
            <w:noWrap/>
            <w:vAlign w:val="bottom"/>
            <w:hideMark/>
          </w:tcPr>
          <w:p w14:paraId="1C25FFD5" w14:textId="77777777" w:rsidR="001F27DD" w:rsidRPr="0095004E" w:rsidRDefault="001F27DD" w:rsidP="006D2DA3">
            <w:pPr>
              <w:rPr>
                <w:color w:val="000000"/>
                <w:sz w:val="20"/>
                <w:szCs w:val="20"/>
              </w:rPr>
            </w:pPr>
            <w:r w:rsidRPr="0095004E">
              <w:rPr>
                <w:color w:val="000000"/>
                <w:sz w:val="20"/>
                <w:szCs w:val="20"/>
              </w:rPr>
              <w:t>Minimum</w:t>
            </w:r>
          </w:p>
        </w:tc>
        <w:tc>
          <w:tcPr>
            <w:tcW w:w="1580" w:type="dxa"/>
            <w:tcBorders>
              <w:top w:val="nil"/>
              <w:left w:val="nil"/>
              <w:bottom w:val="nil"/>
              <w:right w:val="nil"/>
            </w:tcBorders>
            <w:shd w:val="clear" w:color="auto" w:fill="auto"/>
            <w:noWrap/>
            <w:vAlign w:val="bottom"/>
            <w:hideMark/>
          </w:tcPr>
          <w:p w14:paraId="78D452DC" w14:textId="77777777" w:rsidR="001F27DD" w:rsidRPr="0095004E" w:rsidRDefault="001F27DD" w:rsidP="006D2DA3">
            <w:pPr>
              <w:jc w:val="right"/>
              <w:rPr>
                <w:color w:val="000000"/>
                <w:sz w:val="20"/>
                <w:szCs w:val="20"/>
              </w:rPr>
            </w:pPr>
            <w:r w:rsidRPr="0095004E">
              <w:rPr>
                <w:color w:val="000000"/>
                <w:sz w:val="20"/>
                <w:szCs w:val="20"/>
              </w:rPr>
              <w:t>-29.32</w:t>
            </w:r>
          </w:p>
        </w:tc>
        <w:tc>
          <w:tcPr>
            <w:tcW w:w="1540" w:type="dxa"/>
            <w:tcBorders>
              <w:top w:val="nil"/>
              <w:left w:val="nil"/>
              <w:bottom w:val="nil"/>
              <w:right w:val="nil"/>
            </w:tcBorders>
            <w:shd w:val="clear" w:color="auto" w:fill="auto"/>
            <w:noWrap/>
            <w:vAlign w:val="bottom"/>
            <w:hideMark/>
          </w:tcPr>
          <w:p w14:paraId="047BC2E1" w14:textId="77777777" w:rsidR="001F27DD" w:rsidRPr="0095004E" w:rsidRDefault="001F27DD" w:rsidP="006D2DA3">
            <w:pPr>
              <w:jc w:val="right"/>
              <w:rPr>
                <w:color w:val="000000"/>
                <w:sz w:val="20"/>
                <w:szCs w:val="20"/>
              </w:rPr>
            </w:pPr>
            <w:r w:rsidRPr="0095004E">
              <w:rPr>
                <w:color w:val="000000"/>
                <w:sz w:val="20"/>
                <w:szCs w:val="20"/>
              </w:rPr>
              <w:t>-8.3</w:t>
            </w:r>
          </w:p>
        </w:tc>
        <w:tc>
          <w:tcPr>
            <w:tcW w:w="1300" w:type="dxa"/>
            <w:tcBorders>
              <w:top w:val="nil"/>
              <w:left w:val="nil"/>
              <w:bottom w:val="nil"/>
              <w:right w:val="nil"/>
            </w:tcBorders>
            <w:shd w:val="clear" w:color="auto" w:fill="auto"/>
            <w:noWrap/>
            <w:vAlign w:val="bottom"/>
            <w:hideMark/>
          </w:tcPr>
          <w:p w14:paraId="1AEFD615" w14:textId="77777777" w:rsidR="001F27DD" w:rsidRPr="0095004E" w:rsidRDefault="001F27DD" w:rsidP="006D2DA3">
            <w:pPr>
              <w:jc w:val="right"/>
              <w:rPr>
                <w:color w:val="000000"/>
                <w:sz w:val="20"/>
                <w:szCs w:val="20"/>
              </w:rPr>
            </w:pPr>
            <w:r w:rsidRPr="0095004E">
              <w:rPr>
                <w:color w:val="000000"/>
                <w:sz w:val="20"/>
                <w:szCs w:val="20"/>
              </w:rPr>
              <w:t>-8.25</w:t>
            </w:r>
          </w:p>
        </w:tc>
        <w:tc>
          <w:tcPr>
            <w:tcW w:w="1540" w:type="dxa"/>
            <w:tcBorders>
              <w:top w:val="nil"/>
              <w:left w:val="nil"/>
              <w:bottom w:val="nil"/>
              <w:right w:val="nil"/>
            </w:tcBorders>
            <w:shd w:val="clear" w:color="auto" w:fill="auto"/>
            <w:noWrap/>
            <w:vAlign w:val="bottom"/>
            <w:hideMark/>
          </w:tcPr>
          <w:p w14:paraId="7DF49AC6" w14:textId="77777777" w:rsidR="001F27DD" w:rsidRPr="0095004E" w:rsidRDefault="001F27DD" w:rsidP="006D2DA3">
            <w:pPr>
              <w:jc w:val="right"/>
              <w:rPr>
                <w:color w:val="000000"/>
                <w:sz w:val="20"/>
                <w:szCs w:val="20"/>
              </w:rPr>
            </w:pPr>
            <w:r w:rsidRPr="0095004E">
              <w:rPr>
                <w:color w:val="000000"/>
                <w:sz w:val="20"/>
                <w:szCs w:val="20"/>
              </w:rPr>
              <w:t>-29.93</w:t>
            </w:r>
          </w:p>
        </w:tc>
      </w:tr>
      <w:tr w:rsidR="001F27DD" w:rsidRPr="00F30121" w14:paraId="308843C3" w14:textId="77777777" w:rsidTr="006D2DA3">
        <w:trPr>
          <w:trHeight w:val="320"/>
        </w:trPr>
        <w:tc>
          <w:tcPr>
            <w:tcW w:w="2580" w:type="dxa"/>
            <w:tcBorders>
              <w:top w:val="nil"/>
              <w:left w:val="nil"/>
              <w:bottom w:val="nil"/>
              <w:right w:val="nil"/>
            </w:tcBorders>
            <w:shd w:val="clear" w:color="auto" w:fill="auto"/>
            <w:noWrap/>
            <w:vAlign w:val="bottom"/>
            <w:hideMark/>
          </w:tcPr>
          <w:p w14:paraId="2E0D64CB" w14:textId="77777777" w:rsidR="001F27DD" w:rsidRPr="0095004E" w:rsidRDefault="001F27DD" w:rsidP="006D2DA3">
            <w:pPr>
              <w:rPr>
                <w:color w:val="000000"/>
                <w:sz w:val="20"/>
                <w:szCs w:val="20"/>
              </w:rPr>
            </w:pPr>
            <w:r w:rsidRPr="0095004E">
              <w:rPr>
                <w:color w:val="000000"/>
                <w:sz w:val="20"/>
                <w:szCs w:val="20"/>
              </w:rPr>
              <w:t>Maximum</w:t>
            </w:r>
          </w:p>
        </w:tc>
        <w:tc>
          <w:tcPr>
            <w:tcW w:w="1580" w:type="dxa"/>
            <w:tcBorders>
              <w:top w:val="nil"/>
              <w:left w:val="nil"/>
              <w:bottom w:val="nil"/>
              <w:right w:val="nil"/>
            </w:tcBorders>
            <w:shd w:val="clear" w:color="auto" w:fill="auto"/>
            <w:noWrap/>
            <w:vAlign w:val="bottom"/>
            <w:hideMark/>
          </w:tcPr>
          <w:p w14:paraId="52E080EF" w14:textId="77777777" w:rsidR="001F27DD" w:rsidRPr="0095004E" w:rsidRDefault="001F27DD" w:rsidP="006D2DA3">
            <w:pPr>
              <w:jc w:val="right"/>
              <w:rPr>
                <w:color w:val="000000"/>
                <w:sz w:val="20"/>
                <w:szCs w:val="20"/>
              </w:rPr>
            </w:pPr>
            <w:r w:rsidRPr="0095004E">
              <w:rPr>
                <w:color w:val="000000"/>
                <w:sz w:val="20"/>
                <w:szCs w:val="20"/>
              </w:rPr>
              <w:t>42.55</w:t>
            </w:r>
          </w:p>
        </w:tc>
        <w:tc>
          <w:tcPr>
            <w:tcW w:w="1540" w:type="dxa"/>
            <w:tcBorders>
              <w:top w:val="nil"/>
              <w:left w:val="nil"/>
              <w:bottom w:val="nil"/>
              <w:right w:val="nil"/>
            </w:tcBorders>
            <w:shd w:val="clear" w:color="auto" w:fill="auto"/>
            <w:noWrap/>
            <w:vAlign w:val="bottom"/>
            <w:hideMark/>
          </w:tcPr>
          <w:p w14:paraId="09BF2BB7" w14:textId="77777777" w:rsidR="001F27DD" w:rsidRPr="0095004E" w:rsidRDefault="001F27DD" w:rsidP="006D2DA3">
            <w:pPr>
              <w:jc w:val="right"/>
              <w:rPr>
                <w:color w:val="000000"/>
                <w:sz w:val="20"/>
                <w:szCs w:val="20"/>
              </w:rPr>
            </w:pPr>
            <w:r w:rsidRPr="0095004E">
              <w:rPr>
                <w:color w:val="000000"/>
                <w:sz w:val="20"/>
                <w:szCs w:val="20"/>
              </w:rPr>
              <w:t>11.93</w:t>
            </w:r>
          </w:p>
        </w:tc>
        <w:tc>
          <w:tcPr>
            <w:tcW w:w="1300" w:type="dxa"/>
            <w:tcBorders>
              <w:top w:val="nil"/>
              <w:left w:val="nil"/>
              <w:bottom w:val="nil"/>
              <w:right w:val="nil"/>
            </w:tcBorders>
            <w:shd w:val="clear" w:color="auto" w:fill="auto"/>
            <w:noWrap/>
            <w:vAlign w:val="bottom"/>
            <w:hideMark/>
          </w:tcPr>
          <w:p w14:paraId="05FCCB9F" w14:textId="77777777" w:rsidR="001F27DD" w:rsidRPr="0095004E" w:rsidRDefault="001F27DD" w:rsidP="006D2DA3">
            <w:pPr>
              <w:jc w:val="right"/>
              <w:rPr>
                <w:color w:val="000000"/>
                <w:sz w:val="20"/>
                <w:szCs w:val="20"/>
              </w:rPr>
            </w:pPr>
            <w:r w:rsidRPr="0095004E">
              <w:rPr>
                <w:color w:val="000000"/>
                <w:sz w:val="20"/>
                <w:szCs w:val="20"/>
              </w:rPr>
              <w:t>20.37</w:t>
            </w:r>
          </w:p>
        </w:tc>
        <w:tc>
          <w:tcPr>
            <w:tcW w:w="1540" w:type="dxa"/>
            <w:tcBorders>
              <w:top w:val="nil"/>
              <w:left w:val="nil"/>
              <w:bottom w:val="nil"/>
              <w:right w:val="nil"/>
            </w:tcBorders>
            <w:shd w:val="clear" w:color="auto" w:fill="auto"/>
            <w:noWrap/>
            <w:vAlign w:val="bottom"/>
            <w:hideMark/>
          </w:tcPr>
          <w:p w14:paraId="4E1C58D2" w14:textId="77777777" w:rsidR="001F27DD" w:rsidRPr="0095004E" w:rsidRDefault="001F27DD" w:rsidP="006D2DA3">
            <w:pPr>
              <w:jc w:val="right"/>
              <w:rPr>
                <w:color w:val="000000"/>
                <w:sz w:val="20"/>
                <w:szCs w:val="20"/>
              </w:rPr>
            </w:pPr>
            <w:r w:rsidRPr="0095004E">
              <w:rPr>
                <w:color w:val="000000"/>
                <w:sz w:val="20"/>
                <w:szCs w:val="20"/>
              </w:rPr>
              <w:t>42.28</w:t>
            </w:r>
          </w:p>
        </w:tc>
      </w:tr>
      <w:tr w:rsidR="001F27DD" w:rsidRPr="00F30121" w14:paraId="169E4858" w14:textId="77777777" w:rsidTr="006D2DA3">
        <w:trPr>
          <w:trHeight w:val="320"/>
        </w:trPr>
        <w:tc>
          <w:tcPr>
            <w:tcW w:w="2580" w:type="dxa"/>
            <w:tcBorders>
              <w:top w:val="nil"/>
              <w:left w:val="nil"/>
              <w:bottom w:val="nil"/>
              <w:right w:val="nil"/>
            </w:tcBorders>
            <w:shd w:val="clear" w:color="auto" w:fill="auto"/>
            <w:noWrap/>
            <w:vAlign w:val="bottom"/>
            <w:hideMark/>
          </w:tcPr>
          <w:p w14:paraId="769C50A6" w14:textId="77777777" w:rsidR="001F27DD" w:rsidRPr="0095004E" w:rsidRDefault="001F27DD" w:rsidP="006D2DA3">
            <w:pPr>
              <w:rPr>
                <w:color w:val="000000"/>
                <w:sz w:val="20"/>
                <w:szCs w:val="20"/>
              </w:rPr>
            </w:pPr>
            <w:r w:rsidRPr="0095004E">
              <w:rPr>
                <w:color w:val="000000"/>
                <w:sz w:val="20"/>
                <w:szCs w:val="20"/>
              </w:rPr>
              <w:t>Sum</w:t>
            </w:r>
          </w:p>
        </w:tc>
        <w:tc>
          <w:tcPr>
            <w:tcW w:w="1580" w:type="dxa"/>
            <w:tcBorders>
              <w:top w:val="nil"/>
              <w:left w:val="nil"/>
              <w:bottom w:val="nil"/>
              <w:right w:val="nil"/>
            </w:tcBorders>
            <w:shd w:val="clear" w:color="auto" w:fill="auto"/>
            <w:noWrap/>
            <w:vAlign w:val="bottom"/>
            <w:hideMark/>
          </w:tcPr>
          <w:p w14:paraId="65CEF513" w14:textId="77777777" w:rsidR="001F27DD" w:rsidRPr="0095004E" w:rsidRDefault="001F27DD" w:rsidP="006D2DA3">
            <w:pPr>
              <w:jc w:val="right"/>
              <w:rPr>
                <w:color w:val="000000"/>
                <w:sz w:val="20"/>
                <w:szCs w:val="20"/>
              </w:rPr>
            </w:pPr>
            <w:r w:rsidRPr="0095004E">
              <w:rPr>
                <w:color w:val="000000"/>
                <w:sz w:val="20"/>
                <w:szCs w:val="20"/>
              </w:rPr>
              <w:t>152.12</w:t>
            </w:r>
          </w:p>
        </w:tc>
        <w:tc>
          <w:tcPr>
            <w:tcW w:w="1540" w:type="dxa"/>
            <w:tcBorders>
              <w:top w:val="nil"/>
              <w:left w:val="nil"/>
              <w:bottom w:val="nil"/>
              <w:right w:val="nil"/>
            </w:tcBorders>
            <w:shd w:val="clear" w:color="auto" w:fill="auto"/>
            <w:noWrap/>
            <w:vAlign w:val="bottom"/>
            <w:hideMark/>
          </w:tcPr>
          <w:p w14:paraId="4F9CD502" w14:textId="77777777" w:rsidR="001F27DD" w:rsidRPr="0095004E" w:rsidRDefault="001F27DD" w:rsidP="006D2DA3">
            <w:pPr>
              <w:jc w:val="right"/>
              <w:rPr>
                <w:color w:val="000000"/>
                <w:sz w:val="20"/>
                <w:szCs w:val="20"/>
              </w:rPr>
            </w:pPr>
            <w:r w:rsidRPr="0095004E">
              <w:rPr>
                <w:color w:val="000000"/>
                <w:sz w:val="20"/>
                <w:szCs w:val="20"/>
              </w:rPr>
              <w:t>7.45</w:t>
            </w:r>
          </w:p>
        </w:tc>
        <w:tc>
          <w:tcPr>
            <w:tcW w:w="1300" w:type="dxa"/>
            <w:tcBorders>
              <w:top w:val="nil"/>
              <w:left w:val="nil"/>
              <w:bottom w:val="nil"/>
              <w:right w:val="nil"/>
            </w:tcBorders>
            <w:shd w:val="clear" w:color="auto" w:fill="auto"/>
            <w:noWrap/>
            <w:vAlign w:val="bottom"/>
            <w:hideMark/>
          </w:tcPr>
          <w:p w14:paraId="4EA49846" w14:textId="77777777" w:rsidR="001F27DD" w:rsidRPr="0095004E" w:rsidRDefault="001F27DD" w:rsidP="006D2DA3">
            <w:pPr>
              <w:jc w:val="right"/>
              <w:rPr>
                <w:color w:val="000000"/>
                <w:sz w:val="20"/>
                <w:szCs w:val="20"/>
              </w:rPr>
            </w:pPr>
            <w:r w:rsidRPr="0095004E">
              <w:rPr>
                <w:color w:val="000000"/>
                <w:sz w:val="20"/>
                <w:szCs w:val="20"/>
              </w:rPr>
              <w:t>50.87</w:t>
            </w:r>
          </w:p>
        </w:tc>
        <w:tc>
          <w:tcPr>
            <w:tcW w:w="1540" w:type="dxa"/>
            <w:tcBorders>
              <w:top w:val="nil"/>
              <w:left w:val="nil"/>
              <w:bottom w:val="nil"/>
              <w:right w:val="nil"/>
            </w:tcBorders>
            <w:shd w:val="clear" w:color="auto" w:fill="auto"/>
            <w:noWrap/>
            <w:vAlign w:val="bottom"/>
            <w:hideMark/>
          </w:tcPr>
          <w:p w14:paraId="1B729A83" w14:textId="77777777" w:rsidR="001F27DD" w:rsidRPr="0095004E" w:rsidRDefault="001F27DD" w:rsidP="006D2DA3">
            <w:pPr>
              <w:jc w:val="right"/>
              <w:rPr>
                <w:color w:val="000000"/>
                <w:sz w:val="20"/>
                <w:szCs w:val="20"/>
              </w:rPr>
            </w:pPr>
            <w:r w:rsidRPr="0095004E">
              <w:rPr>
                <w:color w:val="000000"/>
                <w:sz w:val="20"/>
                <w:szCs w:val="20"/>
              </w:rPr>
              <w:t>101.43</w:t>
            </w:r>
          </w:p>
        </w:tc>
      </w:tr>
      <w:tr w:rsidR="001F27DD" w:rsidRPr="00F30121" w14:paraId="1F3B8B89" w14:textId="77777777" w:rsidTr="006D2DA3">
        <w:trPr>
          <w:trHeight w:val="320"/>
        </w:trPr>
        <w:tc>
          <w:tcPr>
            <w:tcW w:w="2580" w:type="dxa"/>
            <w:tcBorders>
              <w:top w:val="nil"/>
              <w:left w:val="nil"/>
              <w:bottom w:val="nil"/>
              <w:right w:val="nil"/>
            </w:tcBorders>
            <w:shd w:val="clear" w:color="auto" w:fill="auto"/>
            <w:noWrap/>
            <w:vAlign w:val="bottom"/>
            <w:hideMark/>
          </w:tcPr>
          <w:p w14:paraId="514A06A6" w14:textId="77777777" w:rsidR="001F27DD" w:rsidRPr="0095004E" w:rsidRDefault="001F27DD" w:rsidP="006D2DA3">
            <w:pPr>
              <w:rPr>
                <w:color w:val="000000"/>
                <w:sz w:val="20"/>
                <w:szCs w:val="20"/>
              </w:rPr>
            </w:pPr>
            <w:r w:rsidRPr="0095004E">
              <w:rPr>
                <w:color w:val="000000"/>
                <w:sz w:val="20"/>
                <w:szCs w:val="20"/>
              </w:rPr>
              <w:t>Count</w:t>
            </w:r>
          </w:p>
        </w:tc>
        <w:tc>
          <w:tcPr>
            <w:tcW w:w="1580" w:type="dxa"/>
            <w:tcBorders>
              <w:top w:val="nil"/>
              <w:left w:val="nil"/>
              <w:bottom w:val="nil"/>
              <w:right w:val="nil"/>
            </w:tcBorders>
            <w:shd w:val="clear" w:color="auto" w:fill="auto"/>
            <w:noWrap/>
            <w:vAlign w:val="bottom"/>
            <w:hideMark/>
          </w:tcPr>
          <w:p w14:paraId="1FEDEE5D"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05DE3A62" w14:textId="77777777" w:rsidR="001F27DD" w:rsidRPr="0095004E" w:rsidRDefault="001F27DD" w:rsidP="006D2DA3">
            <w:pPr>
              <w:jc w:val="right"/>
              <w:rPr>
                <w:color w:val="000000"/>
                <w:sz w:val="20"/>
                <w:szCs w:val="20"/>
              </w:rPr>
            </w:pPr>
            <w:r w:rsidRPr="0095004E">
              <w:rPr>
                <w:color w:val="000000"/>
                <w:sz w:val="20"/>
                <w:szCs w:val="20"/>
              </w:rPr>
              <w:t>96</w:t>
            </w:r>
          </w:p>
        </w:tc>
        <w:tc>
          <w:tcPr>
            <w:tcW w:w="1300" w:type="dxa"/>
            <w:tcBorders>
              <w:top w:val="nil"/>
              <w:left w:val="nil"/>
              <w:bottom w:val="nil"/>
              <w:right w:val="nil"/>
            </w:tcBorders>
            <w:shd w:val="clear" w:color="auto" w:fill="auto"/>
            <w:noWrap/>
            <w:vAlign w:val="bottom"/>
            <w:hideMark/>
          </w:tcPr>
          <w:p w14:paraId="397277DA"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776CAD26" w14:textId="77777777" w:rsidR="001F27DD" w:rsidRPr="0095004E" w:rsidRDefault="001F27DD" w:rsidP="006D2DA3">
            <w:pPr>
              <w:jc w:val="right"/>
              <w:rPr>
                <w:color w:val="000000"/>
                <w:sz w:val="20"/>
                <w:szCs w:val="20"/>
              </w:rPr>
            </w:pPr>
            <w:r w:rsidRPr="0095004E">
              <w:rPr>
                <w:color w:val="000000"/>
                <w:sz w:val="20"/>
                <w:szCs w:val="20"/>
              </w:rPr>
              <w:t>96</w:t>
            </w:r>
          </w:p>
        </w:tc>
      </w:tr>
      <w:tr w:rsidR="001F27DD" w:rsidRPr="00F30121" w14:paraId="57FD0255" w14:textId="77777777" w:rsidTr="006D2DA3">
        <w:trPr>
          <w:trHeight w:val="340"/>
        </w:trPr>
        <w:tc>
          <w:tcPr>
            <w:tcW w:w="2580" w:type="dxa"/>
            <w:tcBorders>
              <w:top w:val="nil"/>
              <w:left w:val="nil"/>
              <w:bottom w:val="single" w:sz="8" w:space="0" w:color="auto"/>
              <w:right w:val="nil"/>
            </w:tcBorders>
            <w:shd w:val="clear" w:color="auto" w:fill="auto"/>
            <w:noWrap/>
            <w:vAlign w:val="bottom"/>
            <w:hideMark/>
          </w:tcPr>
          <w:p w14:paraId="4A64BCA5" w14:textId="77777777" w:rsidR="001F27DD" w:rsidRPr="0095004E" w:rsidRDefault="001F27DD" w:rsidP="006D2DA3">
            <w:pPr>
              <w:rPr>
                <w:color w:val="000000"/>
                <w:sz w:val="20"/>
                <w:szCs w:val="20"/>
              </w:rPr>
            </w:pPr>
            <w:r w:rsidRPr="0095004E">
              <w:rPr>
                <w:color w:val="000000"/>
                <w:sz w:val="20"/>
                <w:szCs w:val="20"/>
              </w:rPr>
              <w:t>Confidence Level(95.0%)</w:t>
            </w:r>
          </w:p>
        </w:tc>
        <w:tc>
          <w:tcPr>
            <w:tcW w:w="1580" w:type="dxa"/>
            <w:tcBorders>
              <w:top w:val="nil"/>
              <w:left w:val="nil"/>
              <w:bottom w:val="single" w:sz="8" w:space="0" w:color="auto"/>
              <w:right w:val="nil"/>
            </w:tcBorders>
            <w:shd w:val="clear" w:color="auto" w:fill="auto"/>
            <w:noWrap/>
            <w:vAlign w:val="bottom"/>
            <w:hideMark/>
          </w:tcPr>
          <w:p w14:paraId="15A5D06C" w14:textId="77777777" w:rsidR="001F27DD" w:rsidRPr="0095004E" w:rsidRDefault="001F27DD" w:rsidP="006D2DA3">
            <w:pPr>
              <w:jc w:val="right"/>
              <w:rPr>
                <w:color w:val="000000"/>
                <w:sz w:val="20"/>
                <w:szCs w:val="20"/>
              </w:rPr>
            </w:pPr>
            <w:r w:rsidRPr="0095004E">
              <w:rPr>
                <w:color w:val="000000"/>
                <w:sz w:val="20"/>
                <w:szCs w:val="20"/>
              </w:rPr>
              <w:t>1.80953681</w:t>
            </w:r>
          </w:p>
        </w:tc>
        <w:tc>
          <w:tcPr>
            <w:tcW w:w="1540" w:type="dxa"/>
            <w:tcBorders>
              <w:top w:val="nil"/>
              <w:left w:val="nil"/>
              <w:bottom w:val="single" w:sz="8" w:space="0" w:color="auto"/>
              <w:right w:val="nil"/>
            </w:tcBorders>
            <w:shd w:val="clear" w:color="auto" w:fill="auto"/>
            <w:noWrap/>
            <w:vAlign w:val="bottom"/>
            <w:hideMark/>
          </w:tcPr>
          <w:p w14:paraId="153987D8" w14:textId="77777777" w:rsidR="001F27DD" w:rsidRPr="0095004E" w:rsidRDefault="001F27DD" w:rsidP="006D2DA3">
            <w:pPr>
              <w:jc w:val="right"/>
              <w:rPr>
                <w:color w:val="000000"/>
                <w:sz w:val="20"/>
                <w:szCs w:val="20"/>
              </w:rPr>
            </w:pPr>
            <w:r w:rsidRPr="0095004E">
              <w:rPr>
                <w:color w:val="000000"/>
                <w:sz w:val="20"/>
                <w:szCs w:val="20"/>
              </w:rPr>
              <w:t>0.732686279</w:t>
            </w:r>
          </w:p>
        </w:tc>
        <w:tc>
          <w:tcPr>
            <w:tcW w:w="1300" w:type="dxa"/>
            <w:tcBorders>
              <w:top w:val="nil"/>
              <w:left w:val="nil"/>
              <w:bottom w:val="single" w:sz="8" w:space="0" w:color="auto"/>
              <w:right w:val="nil"/>
            </w:tcBorders>
            <w:shd w:val="clear" w:color="auto" w:fill="auto"/>
            <w:noWrap/>
            <w:vAlign w:val="bottom"/>
            <w:hideMark/>
          </w:tcPr>
          <w:p w14:paraId="5B1D1D51" w14:textId="77777777" w:rsidR="001F27DD" w:rsidRPr="0095004E" w:rsidRDefault="001F27DD" w:rsidP="006D2DA3">
            <w:pPr>
              <w:jc w:val="right"/>
              <w:rPr>
                <w:color w:val="000000"/>
                <w:sz w:val="20"/>
                <w:szCs w:val="20"/>
              </w:rPr>
            </w:pPr>
            <w:r w:rsidRPr="0095004E">
              <w:rPr>
                <w:color w:val="000000"/>
                <w:sz w:val="20"/>
                <w:szCs w:val="20"/>
              </w:rPr>
              <w:t>1.01360968</w:t>
            </w:r>
          </w:p>
        </w:tc>
        <w:tc>
          <w:tcPr>
            <w:tcW w:w="1540" w:type="dxa"/>
            <w:tcBorders>
              <w:top w:val="nil"/>
              <w:left w:val="nil"/>
              <w:bottom w:val="single" w:sz="8" w:space="0" w:color="auto"/>
              <w:right w:val="nil"/>
            </w:tcBorders>
            <w:shd w:val="clear" w:color="auto" w:fill="auto"/>
            <w:noWrap/>
            <w:vAlign w:val="bottom"/>
            <w:hideMark/>
          </w:tcPr>
          <w:p w14:paraId="06FAA0F1" w14:textId="77777777" w:rsidR="001F27DD" w:rsidRPr="0095004E" w:rsidRDefault="001F27DD" w:rsidP="006D2DA3">
            <w:pPr>
              <w:jc w:val="right"/>
              <w:rPr>
                <w:color w:val="000000"/>
                <w:sz w:val="20"/>
                <w:szCs w:val="20"/>
              </w:rPr>
            </w:pPr>
            <w:r w:rsidRPr="0095004E">
              <w:rPr>
                <w:color w:val="000000"/>
                <w:sz w:val="20"/>
                <w:szCs w:val="20"/>
              </w:rPr>
              <w:t>1.81706032</w:t>
            </w:r>
          </w:p>
        </w:tc>
      </w:tr>
    </w:tbl>
    <w:p w14:paraId="204F6D58" w14:textId="7C4D8968" w:rsidR="001F27DD" w:rsidRDefault="001F27DD" w:rsidP="001F27DD">
      <w:pPr>
        <w:rPr>
          <w:sz w:val="22"/>
          <w:szCs w:val="22"/>
        </w:rPr>
      </w:pPr>
    </w:p>
    <w:p w14:paraId="459D42A2" w14:textId="77777777" w:rsidR="007131C2" w:rsidRDefault="007131C2" w:rsidP="001F27DD">
      <w:pPr>
        <w:rPr>
          <w:sz w:val="22"/>
          <w:szCs w:val="22"/>
        </w:rPr>
      </w:pPr>
    </w:p>
    <w:p w14:paraId="2222831E" w14:textId="77777777" w:rsidR="001F27DD" w:rsidRPr="0095004E" w:rsidRDefault="001F27DD" w:rsidP="001F27DD">
      <w:pPr>
        <w:pStyle w:val="paragraph"/>
        <w:spacing w:before="0" w:beforeAutospacing="0" w:after="0" w:afterAutospacing="0"/>
        <w:textAlignment w:val="baseline"/>
        <w:rPr>
          <w:b/>
          <w:bCs/>
          <w:sz w:val="22"/>
          <w:szCs w:val="22"/>
        </w:rPr>
      </w:pPr>
      <w:r w:rsidRPr="0095004E">
        <w:rPr>
          <w:rStyle w:val="normaltextrun"/>
          <w:b/>
          <w:bCs/>
        </w:rPr>
        <w:lastRenderedPageBreak/>
        <w:t xml:space="preserve">Table 4: Descriptive statistics of independent variables and the monthly returns </w:t>
      </w:r>
    </w:p>
    <w:tbl>
      <w:tblPr>
        <w:tblW w:w="8540" w:type="dxa"/>
        <w:tblLook w:val="04A0" w:firstRow="1" w:lastRow="0" w:firstColumn="1" w:lastColumn="0" w:noHBand="0" w:noVBand="1"/>
      </w:tblPr>
      <w:tblGrid>
        <w:gridCol w:w="2580"/>
        <w:gridCol w:w="1580"/>
        <w:gridCol w:w="1540"/>
        <w:gridCol w:w="1300"/>
        <w:gridCol w:w="1540"/>
      </w:tblGrid>
      <w:tr w:rsidR="001F27DD" w:rsidRPr="00F30121" w14:paraId="5330DBEA" w14:textId="77777777" w:rsidTr="006D2DA3">
        <w:trPr>
          <w:trHeight w:val="320"/>
        </w:trPr>
        <w:tc>
          <w:tcPr>
            <w:tcW w:w="2580" w:type="dxa"/>
            <w:tcBorders>
              <w:top w:val="single" w:sz="8" w:space="0" w:color="auto"/>
              <w:left w:val="nil"/>
              <w:bottom w:val="single" w:sz="4" w:space="0" w:color="auto"/>
              <w:right w:val="nil"/>
            </w:tcBorders>
            <w:shd w:val="clear" w:color="auto" w:fill="auto"/>
            <w:noWrap/>
            <w:vAlign w:val="bottom"/>
            <w:hideMark/>
          </w:tcPr>
          <w:p w14:paraId="210CC794" w14:textId="77777777" w:rsidR="001F27DD" w:rsidRPr="0095004E" w:rsidRDefault="001F27DD" w:rsidP="006D2DA3">
            <w:pPr>
              <w:jc w:val="center"/>
              <w:rPr>
                <w:i/>
                <w:iCs/>
                <w:color w:val="000000"/>
                <w:sz w:val="20"/>
                <w:szCs w:val="20"/>
              </w:rPr>
            </w:pPr>
            <w:r w:rsidRPr="0095004E">
              <w:rPr>
                <w:i/>
                <w:iCs/>
                <w:color w:val="000000"/>
                <w:sz w:val="20"/>
                <w:szCs w:val="20"/>
              </w:rPr>
              <w:t>South Korea</w:t>
            </w:r>
          </w:p>
        </w:tc>
        <w:tc>
          <w:tcPr>
            <w:tcW w:w="1580" w:type="dxa"/>
            <w:tcBorders>
              <w:top w:val="single" w:sz="8" w:space="0" w:color="auto"/>
              <w:left w:val="nil"/>
              <w:bottom w:val="single" w:sz="4" w:space="0" w:color="auto"/>
              <w:right w:val="nil"/>
            </w:tcBorders>
            <w:shd w:val="clear" w:color="auto" w:fill="auto"/>
            <w:noWrap/>
            <w:vAlign w:val="bottom"/>
            <w:hideMark/>
          </w:tcPr>
          <w:p w14:paraId="02513CA8" w14:textId="77777777" w:rsidR="001F27DD" w:rsidRPr="0095004E" w:rsidRDefault="001F27DD" w:rsidP="006D2DA3">
            <w:pPr>
              <w:jc w:val="center"/>
              <w:rPr>
                <w:i/>
                <w:iCs/>
                <w:color w:val="000000"/>
                <w:sz w:val="20"/>
                <w:szCs w:val="20"/>
              </w:rPr>
            </w:pPr>
            <w:r w:rsidRPr="0095004E">
              <w:rPr>
                <w:i/>
                <w:iCs/>
                <w:color w:val="000000"/>
                <w:sz w:val="20"/>
                <w:szCs w:val="20"/>
              </w:rPr>
              <w:t>Returns</w:t>
            </w:r>
          </w:p>
        </w:tc>
        <w:tc>
          <w:tcPr>
            <w:tcW w:w="1540" w:type="dxa"/>
            <w:tcBorders>
              <w:top w:val="single" w:sz="8" w:space="0" w:color="auto"/>
              <w:left w:val="nil"/>
              <w:bottom w:val="single" w:sz="4" w:space="0" w:color="auto"/>
              <w:right w:val="nil"/>
            </w:tcBorders>
            <w:shd w:val="clear" w:color="auto" w:fill="auto"/>
            <w:noWrap/>
            <w:vAlign w:val="bottom"/>
            <w:hideMark/>
          </w:tcPr>
          <w:p w14:paraId="01909BE1" w14:textId="77777777" w:rsidR="001F27DD" w:rsidRPr="0095004E" w:rsidRDefault="001F27DD" w:rsidP="006D2DA3">
            <w:pPr>
              <w:jc w:val="center"/>
              <w:rPr>
                <w:i/>
                <w:iCs/>
                <w:color w:val="000000"/>
                <w:sz w:val="20"/>
                <w:szCs w:val="20"/>
              </w:rPr>
            </w:pPr>
            <w:r w:rsidRPr="0095004E">
              <w:rPr>
                <w:i/>
                <w:iCs/>
                <w:color w:val="000000"/>
                <w:sz w:val="20"/>
                <w:szCs w:val="20"/>
              </w:rPr>
              <w:t>HML</w:t>
            </w:r>
          </w:p>
        </w:tc>
        <w:tc>
          <w:tcPr>
            <w:tcW w:w="1300" w:type="dxa"/>
            <w:tcBorders>
              <w:top w:val="single" w:sz="8" w:space="0" w:color="auto"/>
              <w:left w:val="nil"/>
              <w:bottom w:val="single" w:sz="4" w:space="0" w:color="auto"/>
              <w:right w:val="nil"/>
            </w:tcBorders>
            <w:shd w:val="clear" w:color="auto" w:fill="auto"/>
            <w:noWrap/>
            <w:vAlign w:val="bottom"/>
            <w:hideMark/>
          </w:tcPr>
          <w:p w14:paraId="23B8A59D" w14:textId="77777777" w:rsidR="001F27DD" w:rsidRPr="0095004E" w:rsidRDefault="001F27DD" w:rsidP="006D2DA3">
            <w:pPr>
              <w:jc w:val="center"/>
              <w:rPr>
                <w:i/>
                <w:iCs/>
                <w:color w:val="000000"/>
                <w:sz w:val="20"/>
                <w:szCs w:val="20"/>
              </w:rPr>
            </w:pPr>
            <w:r w:rsidRPr="0095004E">
              <w:rPr>
                <w:i/>
                <w:iCs/>
                <w:color w:val="000000"/>
                <w:sz w:val="20"/>
                <w:szCs w:val="20"/>
              </w:rPr>
              <w:t>SMB</w:t>
            </w:r>
          </w:p>
        </w:tc>
        <w:tc>
          <w:tcPr>
            <w:tcW w:w="1540" w:type="dxa"/>
            <w:tcBorders>
              <w:top w:val="single" w:sz="8" w:space="0" w:color="auto"/>
              <w:left w:val="nil"/>
              <w:bottom w:val="single" w:sz="4" w:space="0" w:color="auto"/>
              <w:right w:val="nil"/>
            </w:tcBorders>
            <w:shd w:val="clear" w:color="auto" w:fill="auto"/>
            <w:noWrap/>
            <w:vAlign w:val="bottom"/>
            <w:hideMark/>
          </w:tcPr>
          <w:p w14:paraId="7DB63C36" w14:textId="77777777" w:rsidR="001F27DD" w:rsidRPr="0095004E" w:rsidRDefault="001F27DD" w:rsidP="006D2DA3">
            <w:pPr>
              <w:jc w:val="center"/>
              <w:rPr>
                <w:i/>
                <w:iCs/>
                <w:color w:val="000000"/>
                <w:sz w:val="20"/>
                <w:szCs w:val="20"/>
              </w:rPr>
            </w:pPr>
            <w:r w:rsidRPr="0095004E">
              <w:rPr>
                <w:i/>
                <w:iCs/>
                <w:color w:val="000000"/>
                <w:sz w:val="20"/>
                <w:szCs w:val="20"/>
              </w:rPr>
              <w:t>Rm_Rf</w:t>
            </w:r>
          </w:p>
        </w:tc>
      </w:tr>
      <w:tr w:rsidR="001F27DD" w:rsidRPr="00F30121" w14:paraId="23F3D8EA" w14:textId="77777777" w:rsidTr="006D2DA3">
        <w:trPr>
          <w:trHeight w:val="320"/>
        </w:trPr>
        <w:tc>
          <w:tcPr>
            <w:tcW w:w="2580" w:type="dxa"/>
            <w:tcBorders>
              <w:top w:val="nil"/>
              <w:left w:val="nil"/>
              <w:bottom w:val="nil"/>
              <w:right w:val="nil"/>
            </w:tcBorders>
            <w:shd w:val="clear" w:color="auto" w:fill="auto"/>
            <w:noWrap/>
            <w:vAlign w:val="bottom"/>
            <w:hideMark/>
          </w:tcPr>
          <w:p w14:paraId="14717EA5" w14:textId="77777777" w:rsidR="001F27DD" w:rsidRPr="0095004E" w:rsidRDefault="001F27DD" w:rsidP="006D2DA3">
            <w:pPr>
              <w:rPr>
                <w:color w:val="000000"/>
                <w:sz w:val="20"/>
                <w:szCs w:val="20"/>
              </w:rPr>
            </w:pPr>
            <w:r w:rsidRPr="0095004E">
              <w:rPr>
                <w:color w:val="000000"/>
                <w:sz w:val="20"/>
                <w:szCs w:val="20"/>
              </w:rPr>
              <w:t>Mean</w:t>
            </w:r>
          </w:p>
        </w:tc>
        <w:tc>
          <w:tcPr>
            <w:tcW w:w="1580" w:type="dxa"/>
            <w:tcBorders>
              <w:top w:val="nil"/>
              <w:left w:val="nil"/>
              <w:bottom w:val="nil"/>
              <w:right w:val="nil"/>
            </w:tcBorders>
            <w:shd w:val="clear" w:color="auto" w:fill="auto"/>
            <w:noWrap/>
            <w:vAlign w:val="bottom"/>
            <w:hideMark/>
          </w:tcPr>
          <w:p w14:paraId="6114433A" w14:textId="77777777" w:rsidR="001F27DD" w:rsidRPr="0095004E" w:rsidRDefault="001F27DD" w:rsidP="006D2DA3">
            <w:pPr>
              <w:jc w:val="right"/>
              <w:rPr>
                <w:color w:val="000000"/>
                <w:sz w:val="20"/>
                <w:szCs w:val="20"/>
              </w:rPr>
            </w:pPr>
            <w:r w:rsidRPr="0095004E">
              <w:rPr>
                <w:color w:val="000000"/>
                <w:sz w:val="20"/>
                <w:szCs w:val="20"/>
              </w:rPr>
              <w:t>1.087083333</w:t>
            </w:r>
          </w:p>
        </w:tc>
        <w:tc>
          <w:tcPr>
            <w:tcW w:w="1540" w:type="dxa"/>
            <w:tcBorders>
              <w:top w:val="nil"/>
              <w:left w:val="nil"/>
              <w:bottom w:val="nil"/>
              <w:right w:val="nil"/>
            </w:tcBorders>
            <w:shd w:val="clear" w:color="auto" w:fill="auto"/>
            <w:noWrap/>
            <w:vAlign w:val="bottom"/>
            <w:hideMark/>
          </w:tcPr>
          <w:p w14:paraId="6163E641" w14:textId="77777777" w:rsidR="001F27DD" w:rsidRPr="0095004E" w:rsidRDefault="001F27DD" w:rsidP="006D2DA3">
            <w:pPr>
              <w:jc w:val="right"/>
              <w:rPr>
                <w:color w:val="000000"/>
                <w:sz w:val="20"/>
                <w:szCs w:val="20"/>
              </w:rPr>
            </w:pPr>
            <w:r w:rsidRPr="0095004E">
              <w:rPr>
                <w:color w:val="000000"/>
                <w:sz w:val="20"/>
                <w:szCs w:val="20"/>
              </w:rPr>
              <w:t>1.123541667</w:t>
            </w:r>
          </w:p>
        </w:tc>
        <w:tc>
          <w:tcPr>
            <w:tcW w:w="1300" w:type="dxa"/>
            <w:tcBorders>
              <w:top w:val="nil"/>
              <w:left w:val="nil"/>
              <w:bottom w:val="nil"/>
              <w:right w:val="nil"/>
            </w:tcBorders>
            <w:shd w:val="clear" w:color="auto" w:fill="auto"/>
            <w:noWrap/>
            <w:vAlign w:val="bottom"/>
            <w:hideMark/>
          </w:tcPr>
          <w:p w14:paraId="508531D1" w14:textId="77777777" w:rsidR="001F27DD" w:rsidRPr="0095004E" w:rsidRDefault="001F27DD" w:rsidP="006D2DA3">
            <w:pPr>
              <w:jc w:val="right"/>
              <w:rPr>
                <w:color w:val="000000"/>
                <w:sz w:val="20"/>
                <w:szCs w:val="20"/>
              </w:rPr>
            </w:pPr>
            <w:r w:rsidRPr="0095004E">
              <w:rPr>
                <w:color w:val="000000"/>
                <w:sz w:val="20"/>
                <w:szCs w:val="20"/>
              </w:rPr>
              <w:t>0.85427083</w:t>
            </w:r>
          </w:p>
        </w:tc>
        <w:tc>
          <w:tcPr>
            <w:tcW w:w="1540" w:type="dxa"/>
            <w:tcBorders>
              <w:top w:val="nil"/>
              <w:left w:val="nil"/>
              <w:bottom w:val="nil"/>
              <w:right w:val="nil"/>
            </w:tcBorders>
            <w:shd w:val="clear" w:color="auto" w:fill="auto"/>
            <w:noWrap/>
            <w:vAlign w:val="bottom"/>
            <w:hideMark/>
          </w:tcPr>
          <w:p w14:paraId="20D4EF7A" w14:textId="77777777" w:rsidR="001F27DD" w:rsidRPr="0095004E" w:rsidRDefault="001F27DD" w:rsidP="006D2DA3">
            <w:pPr>
              <w:jc w:val="right"/>
              <w:rPr>
                <w:color w:val="000000"/>
                <w:sz w:val="20"/>
                <w:szCs w:val="20"/>
              </w:rPr>
            </w:pPr>
            <w:r w:rsidRPr="0095004E">
              <w:rPr>
                <w:color w:val="000000"/>
                <w:sz w:val="20"/>
                <w:szCs w:val="20"/>
              </w:rPr>
              <w:t>0.7721875</w:t>
            </w:r>
          </w:p>
        </w:tc>
      </w:tr>
      <w:tr w:rsidR="001F27DD" w:rsidRPr="00F30121" w14:paraId="1CDBB910" w14:textId="77777777" w:rsidTr="006D2DA3">
        <w:trPr>
          <w:trHeight w:val="320"/>
        </w:trPr>
        <w:tc>
          <w:tcPr>
            <w:tcW w:w="2580" w:type="dxa"/>
            <w:tcBorders>
              <w:top w:val="nil"/>
              <w:left w:val="nil"/>
              <w:bottom w:val="nil"/>
              <w:right w:val="nil"/>
            </w:tcBorders>
            <w:shd w:val="clear" w:color="auto" w:fill="auto"/>
            <w:noWrap/>
            <w:vAlign w:val="bottom"/>
            <w:hideMark/>
          </w:tcPr>
          <w:p w14:paraId="5CD54852" w14:textId="77777777" w:rsidR="001F27DD" w:rsidRPr="0095004E" w:rsidRDefault="001F27DD" w:rsidP="006D2DA3">
            <w:pPr>
              <w:rPr>
                <w:color w:val="000000"/>
                <w:sz w:val="20"/>
                <w:szCs w:val="20"/>
              </w:rPr>
            </w:pPr>
            <w:r w:rsidRPr="0095004E">
              <w:rPr>
                <w:color w:val="000000"/>
                <w:sz w:val="20"/>
                <w:szCs w:val="20"/>
              </w:rPr>
              <w:t>Standard Error</w:t>
            </w:r>
          </w:p>
        </w:tc>
        <w:tc>
          <w:tcPr>
            <w:tcW w:w="1580" w:type="dxa"/>
            <w:tcBorders>
              <w:top w:val="nil"/>
              <w:left w:val="nil"/>
              <w:bottom w:val="nil"/>
              <w:right w:val="nil"/>
            </w:tcBorders>
            <w:shd w:val="clear" w:color="auto" w:fill="auto"/>
            <w:noWrap/>
            <w:vAlign w:val="bottom"/>
            <w:hideMark/>
          </w:tcPr>
          <w:p w14:paraId="7D445E48" w14:textId="77777777" w:rsidR="001F27DD" w:rsidRPr="0095004E" w:rsidRDefault="001F27DD" w:rsidP="006D2DA3">
            <w:pPr>
              <w:jc w:val="right"/>
              <w:rPr>
                <w:color w:val="000000"/>
                <w:sz w:val="20"/>
                <w:szCs w:val="20"/>
              </w:rPr>
            </w:pPr>
            <w:r w:rsidRPr="0095004E">
              <w:rPr>
                <w:color w:val="000000"/>
                <w:sz w:val="20"/>
                <w:szCs w:val="20"/>
              </w:rPr>
              <w:t>0.64507974</w:t>
            </w:r>
          </w:p>
        </w:tc>
        <w:tc>
          <w:tcPr>
            <w:tcW w:w="1540" w:type="dxa"/>
            <w:tcBorders>
              <w:top w:val="nil"/>
              <w:left w:val="nil"/>
              <w:bottom w:val="nil"/>
              <w:right w:val="nil"/>
            </w:tcBorders>
            <w:shd w:val="clear" w:color="auto" w:fill="auto"/>
            <w:noWrap/>
            <w:vAlign w:val="bottom"/>
            <w:hideMark/>
          </w:tcPr>
          <w:p w14:paraId="42E1F0F5" w14:textId="77777777" w:rsidR="001F27DD" w:rsidRPr="0095004E" w:rsidRDefault="001F27DD" w:rsidP="006D2DA3">
            <w:pPr>
              <w:jc w:val="right"/>
              <w:rPr>
                <w:color w:val="000000"/>
                <w:sz w:val="20"/>
                <w:szCs w:val="20"/>
              </w:rPr>
            </w:pPr>
            <w:r w:rsidRPr="0095004E">
              <w:rPr>
                <w:color w:val="000000"/>
                <w:sz w:val="20"/>
                <w:szCs w:val="20"/>
              </w:rPr>
              <w:t>0.398850568</w:t>
            </w:r>
          </w:p>
        </w:tc>
        <w:tc>
          <w:tcPr>
            <w:tcW w:w="1300" w:type="dxa"/>
            <w:tcBorders>
              <w:top w:val="nil"/>
              <w:left w:val="nil"/>
              <w:bottom w:val="nil"/>
              <w:right w:val="nil"/>
            </w:tcBorders>
            <w:shd w:val="clear" w:color="auto" w:fill="auto"/>
            <w:noWrap/>
            <w:vAlign w:val="bottom"/>
            <w:hideMark/>
          </w:tcPr>
          <w:p w14:paraId="70E5CA22" w14:textId="77777777" w:rsidR="001F27DD" w:rsidRPr="0095004E" w:rsidRDefault="001F27DD" w:rsidP="006D2DA3">
            <w:pPr>
              <w:jc w:val="right"/>
              <w:rPr>
                <w:color w:val="000000"/>
                <w:sz w:val="20"/>
                <w:szCs w:val="20"/>
              </w:rPr>
            </w:pPr>
            <w:r w:rsidRPr="0095004E">
              <w:rPr>
                <w:color w:val="000000"/>
                <w:sz w:val="20"/>
                <w:szCs w:val="20"/>
              </w:rPr>
              <w:t>0.46823853</w:t>
            </w:r>
          </w:p>
        </w:tc>
        <w:tc>
          <w:tcPr>
            <w:tcW w:w="1540" w:type="dxa"/>
            <w:tcBorders>
              <w:top w:val="nil"/>
              <w:left w:val="nil"/>
              <w:bottom w:val="nil"/>
              <w:right w:val="nil"/>
            </w:tcBorders>
            <w:shd w:val="clear" w:color="auto" w:fill="auto"/>
            <w:noWrap/>
            <w:vAlign w:val="bottom"/>
            <w:hideMark/>
          </w:tcPr>
          <w:p w14:paraId="3A88601B" w14:textId="77777777" w:rsidR="001F27DD" w:rsidRPr="0095004E" w:rsidRDefault="001F27DD" w:rsidP="006D2DA3">
            <w:pPr>
              <w:jc w:val="right"/>
              <w:rPr>
                <w:color w:val="000000"/>
                <w:sz w:val="20"/>
                <w:szCs w:val="20"/>
              </w:rPr>
            </w:pPr>
            <w:r w:rsidRPr="0095004E">
              <w:rPr>
                <w:color w:val="000000"/>
                <w:sz w:val="20"/>
                <w:szCs w:val="20"/>
              </w:rPr>
              <w:t>0.647377642</w:t>
            </w:r>
          </w:p>
        </w:tc>
      </w:tr>
      <w:tr w:rsidR="001F27DD" w:rsidRPr="00F30121" w14:paraId="3F801B82" w14:textId="77777777" w:rsidTr="006D2DA3">
        <w:trPr>
          <w:trHeight w:val="320"/>
        </w:trPr>
        <w:tc>
          <w:tcPr>
            <w:tcW w:w="2580" w:type="dxa"/>
            <w:tcBorders>
              <w:top w:val="nil"/>
              <w:left w:val="nil"/>
              <w:bottom w:val="nil"/>
              <w:right w:val="nil"/>
            </w:tcBorders>
            <w:shd w:val="clear" w:color="auto" w:fill="auto"/>
            <w:noWrap/>
            <w:vAlign w:val="bottom"/>
            <w:hideMark/>
          </w:tcPr>
          <w:p w14:paraId="345758B4" w14:textId="77777777" w:rsidR="001F27DD" w:rsidRPr="0095004E" w:rsidRDefault="001F27DD" w:rsidP="006D2DA3">
            <w:pPr>
              <w:rPr>
                <w:color w:val="000000"/>
                <w:sz w:val="20"/>
                <w:szCs w:val="20"/>
              </w:rPr>
            </w:pPr>
            <w:r w:rsidRPr="0095004E">
              <w:rPr>
                <w:color w:val="000000"/>
                <w:sz w:val="20"/>
                <w:szCs w:val="20"/>
              </w:rPr>
              <w:t>Median</w:t>
            </w:r>
          </w:p>
        </w:tc>
        <w:tc>
          <w:tcPr>
            <w:tcW w:w="1580" w:type="dxa"/>
            <w:tcBorders>
              <w:top w:val="nil"/>
              <w:left w:val="nil"/>
              <w:bottom w:val="nil"/>
              <w:right w:val="nil"/>
            </w:tcBorders>
            <w:shd w:val="clear" w:color="auto" w:fill="auto"/>
            <w:noWrap/>
            <w:vAlign w:val="bottom"/>
            <w:hideMark/>
          </w:tcPr>
          <w:p w14:paraId="15F2CC95" w14:textId="77777777" w:rsidR="001F27DD" w:rsidRPr="0095004E" w:rsidRDefault="001F27DD" w:rsidP="006D2DA3">
            <w:pPr>
              <w:jc w:val="right"/>
              <w:rPr>
                <w:color w:val="000000"/>
                <w:sz w:val="20"/>
                <w:szCs w:val="20"/>
              </w:rPr>
            </w:pPr>
            <w:r w:rsidRPr="0095004E">
              <w:rPr>
                <w:color w:val="000000"/>
                <w:sz w:val="20"/>
                <w:szCs w:val="20"/>
              </w:rPr>
              <w:t>1.16</w:t>
            </w:r>
          </w:p>
        </w:tc>
        <w:tc>
          <w:tcPr>
            <w:tcW w:w="1540" w:type="dxa"/>
            <w:tcBorders>
              <w:top w:val="nil"/>
              <w:left w:val="nil"/>
              <w:bottom w:val="nil"/>
              <w:right w:val="nil"/>
            </w:tcBorders>
            <w:shd w:val="clear" w:color="auto" w:fill="auto"/>
            <w:noWrap/>
            <w:vAlign w:val="bottom"/>
            <w:hideMark/>
          </w:tcPr>
          <w:p w14:paraId="1E9F25C8" w14:textId="77777777" w:rsidR="001F27DD" w:rsidRPr="0095004E" w:rsidRDefault="001F27DD" w:rsidP="006D2DA3">
            <w:pPr>
              <w:jc w:val="right"/>
              <w:rPr>
                <w:color w:val="000000"/>
                <w:sz w:val="20"/>
                <w:szCs w:val="20"/>
              </w:rPr>
            </w:pPr>
            <w:r w:rsidRPr="0095004E">
              <w:rPr>
                <w:color w:val="000000"/>
                <w:sz w:val="20"/>
                <w:szCs w:val="20"/>
              </w:rPr>
              <w:t>0.84</w:t>
            </w:r>
          </w:p>
        </w:tc>
        <w:tc>
          <w:tcPr>
            <w:tcW w:w="1300" w:type="dxa"/>
            <w:tcBorders>
              <w:top w:val="nil"/>
              <w:left w:val="nil"/>
              <w:bottom w:val="nil"/>
              <w:right w:val="nil"/>
            </w:tcBorders>
            <w:shd w:val="clear" w:color="auto" w:fill="auto"/>
            <w:noWrap/>
            <w:vAlign w:val="bottom"/>
            <w:hideMark/>
          </w:tcPr>
          <w:p w14:paraId="5A791F3B" w14:textId="77777777" w:rsidR="001F27DD" w:rsidRPr="0095004E" w:rsidRDefault="001F27DD" w:rsidP="006D2DA3">
            <w:pPr>
              <w:jc w:val="right"/>
              <w:rPr>
                <w:color w:val="000000"/>
                <w:sz w:val="20"/>
                <w:szCs w:val="20"/>
              </w:rPr>
            </w:pPr>
            <w:r w:rsidRPr="0095004E">
              <w:rPr>
                <w:color w:val="000000"/>
                <w:sz w:val="20"/>
                <w:szCs w:val="20"/>
              </w:rPr>
              <w:t>0.295</w:t>
            </w:r>
          </w:p>
        </w:tc>
        <w:tc>
          <w:tcPr>
            <w:tcW w:w="1540" w:type="dxa"/>
            <w:tcBorders>
              <w:top w:val="nil"/>
              <w:left w:val="nil"/>
              <w:bottom w:val="nil"/>
              <w:right w:val="nil"/>
            </w:tcBorders>
            <w:shd w:val="clear" w:color="auto" w:fill="auto"/>
            <w:noWrap/>
            <w:vAlign w:val="bottom"/>
            <w:hideMark/>
          </w:tcPr>
          <w:p w14:paraId="73AFEF66" w14:textId="77777777" w:rsidR="001F27DD" w:rsidRPr="0095004E" w:rsidRDefault="001F27DD" w:rsidP="006D2DA3">
            <w:pPr>
              <w:jc w:val="right"/>
              <w:rPr>
                <w:color w:val="000000"/>
                <w:sz w:val="20"/>
                <w:szCs w:val="20"/>
              </w:rPr>
            </w:pPr>
            <w:r w:rsidRPr="0095004E">
              <w:rPr>
                <w:color w:val="000000"/>
                <w:sz w:val="20"/>
                <w:szCs w:val="20"/>
              </w:rPr>
              <w:t>0.94</w:t>
            </w:r>
          </w:p>
        </w:tc>
      </w:tr>
      <w:tr w:rsidR="001F27DD" w:rsidRPr="00F30121" w14:paraId="362C2C0E" w14:textId="77777777" w:rsidTr="006D2DA3">
        <w:trPr>
          <w:trHeight w:val="320"/>
        </w:trPr>
        <w:tc>
          <w:tcPr>
            <w:tcW w:w="2580" w:type="dxa"/>
            <w:tcBorders>
              <w:top w:val="nil"/>
              <w:left w:val="nil"/>
              <w:bottom w:val="nil"/>
              <w:right w:val="nil"/>
            </w:tcBorders>
            <w:shd w:val="clear" w:color="auto" w:fill="auto"/>
            <w:noWrap/>
            <w:vAlign w:val="bottom"/>
            <w:hideMark/>
          </w:tcPr>
          <w:p w14:paraId="30AC2305" w14:textId="77777777" w:rsidR="001F27DD" w:rsidRPr="0095004E" w:rsidRDefault="001F27DD" w:rsidP="006D2DA3">
            <w:pPr>
              <w:rPr>
                <w:color w:val="000000"/>
                <w:sz w:val="20"/>
                <w:szCs w:val="20"/>
              </w:rPr>
            </w:pPr>
            <w:r w:rsidRPr="0095004E">
              <w:rPr>
                <w:color w:val="000000"/>
                <w:sz w:val="20"/>
                <w:szCs w:val="20"/>
              </w:rPr>
              <w:t>Mode</w:t>
            </w:r>
          </w:p>
        </w:tc>
        <w:tc>
          <w:tcPr>
            <w:tcW w:w="1580" w:type="dxa"/>
            <w:tcBorders>
              <w:top w:val="nil"/>
              <w:left w:val="nil"/>
              <w:bottom w:val="nil"/>
              <w:right w:val="nil"/>
            </w:tcBorders>
            <w:shd w:val="clear" w:color="auto" w:fill="auto"/>
            <w:noWrap/>
            <w:vAlign w:val="bottom"/>
            <w:hideMark/>
          </w:tcPr>
          <w:p w14:paraId="56C833A8" w14:textId="77777777" w:rsidR="001F27DD" w:rsidRPr="0095004E" w:rsidRDefault="001F27DD" w:rsidP="006D2DA3">
            <w:pPr>
              <w:jc w:val="right"/>
              <w:rPr>
                <w:color w:val="000000"/>
                <w:sz w:val="20"/>
                <w:szCs w:val="20"/>
              </w:rPr>
            </w:pPr>
            <w:r w:rsidRPr="0095004E">
              <w:rPr>
                <w:color w:val="000000"/>
                <w:sz w:val="20"/>
                <w:szCs w:val="20"/>
              </w:rPr>
              <w:t>8.25</w:t>
            </w:r>
          </w:p>
        </w:tc>
        <w:tc>
          <w:tcPr>
            <w:tcW w:w="1540" w:type="dxa"/>
            <w:tcBorders>
              <w:top w:val="nil"/>
              <w:left w:val="nil"/>
              <w:bottom w:val="nil"/>
              <w:right w:val="nil"/>
            </w:tcBorders>
            <w:shd w:val="clear" w:color="auto" w:fill="auto"/>
            <w:noWrap/>
            <w:vAlign w:val="bottom"/>
            <w:hideMark/>
          </w:tcPr>
          <w:p w14:paraId="5972A0C0" w14:textId="77777777" w:rsidR="001F27DD" w:rsidRPr="0095004E" w:rsidRDefault="001F27DD" w:rsidP="006D2DA3">
            <w:pPr>
              <w:jc w:val="right"/>
              <w:rPr>
                <w:color w:val="000000"/>
                <w:sz w:val="20"/>
                <w:szCs w:val="20"/>
              </w:rPr>
            </w:pPr>
            <w:r w:rsidRPr="0095004E">
              <w:rPr>
                <w:color w:val="000000"/>
                <w:sz w:val="20"/>
                <w:szCs w:val="20"/>
              </w:rPr>
              <w:t>3.64</w:t>
            </w:r>
          </w:p>
        </w:tc>
        <w:tc>
          <w:tcPr>
            <w:tcW w:w="1300" w:type="dxa"/>
            <w:tcBorders>
              <w:top w:val="nil"/>
              <w:left w:val="nil"/>
              <w:bottom w:val="nil"/>
              <w:right w:val="nil"/>
            </w:tcBorders>
            <w:shd w:val="clear" w:color="auto" w:fill="auto"/>
            <w:noWrap/>
            <w:vAlign w:val="bottom"/>
            <w:hideMark/>
          </w:tcPr>
          <w:p w14:paraId="1D8DD519" w14:textId="77777777" w:rsidR="001F27DD" w:rsidRPr="0095004E" w:rsidRDefault="001F27DD" w:rsidP="006D2DA3">
            <w:pPr>
              <w:jc w:val="right"/>
              <w:rPr>
                <w:color w:val="000000"/>
                <w:sz w:val="20"/>
                <w:szCs w:val="20"/>
              </w:rPr>
            </w:pPr>
            <w:r w:rsidRPr="0095004E">
              <w:rPr>
                <w:color w:val="000000"/>
                <w:sz w:val="20"/>
                <w:szCs w:val="20"/>
              </w:rPr>
              <w:t>-1.9</w:t>
            </w:r>
          </w:p>
        </w:tc>
        <w:tc>
          <w:tcPr>
            <w:tcW w:w="1540" w:type="dxa"/>
            <w:tcBorders>
              <w:top w:val="nil"/>
              <w:left w:val="nil"/>
              <w:bottom w:val="nil"/>
              <w:right w:val="nil"/>
            </w:tcBorders>
            <w:shd w:val="clear" w:color="auto" w:fill="auto"/>
            <w:noWrap/>
            <w:vAlign w:val="bottom"/>
            <w:hideMark/>
          </w:tcPr>
          <w:p w14:paraId="6534D069" w14:textId="77777777" w:rsidR="001F27DD" w:rsidRPr="0095004E" w:rsidRDefault="001F27DD" w:rsidP="006D2DA3">
            <w:pPr>
              <w:jc w:val="right"/>
              <w:rPr>
                <w:color w:val="000000"/>
                <w:sz w:val="20"/>
                <w:szCs w:val="20"/>
              </w:rPr>
            </w:pPr>
            <w:r w:rsidRPr="0095004E">
              <w:rPr>
                <w:color w:val="000000"/>
                <w:sz w:val="20"/>
                <w:szCs w:val="20"/>
              </w:rPr>
              <w:t>1.99</w:t>
            </w:r>
          </w:p>
        </w:tc>
      </w:tr>
      <w:tr w:rsidR="001F27DD" w:rsidRPr="00F30121" w14:paraId="527C4A5D" w14:textId="77777777" w:rsidTr="006D2DA3">
        <w:trPr>
          <w:trHeight w:val="320"/>
        </w:trPr>
        <w:tc>
          <w:tcPr>
            <w:tcW w:w="2580" w:type="dxa"/>
            <w:tcBorders>
              <w:top w:val="nil"/>
              <w:left w:val="nil"/>
              <w:bottom w:val="nil"/>
              <w:right w:val="nil"/>
            </w:tcBorders>
            <w:shd w:val="clear" w:color="auto" w:fill="auto"/>
            <w:noWrap/>
            <w:vAlign w:val="bottom"/>
            <w:hideMark/>
          </w:tcPr>
          <w:p w14:paraId="57A2DBBE" w14:textId="77777777" w:rsidR="001F27DD" w:rsidRPr="0095004E" w:rsidRDefault="001F27DD" w:rsidP="006D2DA3">
            <w:pPr>
              <w:rPr>
                <w:color w:val="000000"/>
                <w:sz w:val="20"/>
                <w:szCs w:val="20"/>
              </w:rPr>
            </w:pPr>
            <w:r w:rsidRPr="0095004E">
              <w:rPr>
                <w:color w:val="000000"/>
                <w:sz w:val="20"/>
                <w:szCs w:val="20"/>
              </w:rPr>
              <w:t>Standard Deviation</w:t>
            </w:r>
          </w:p>
        </w:tc>
        <w:tc>
          <w:tcPr>
            <w:tcW w:w="1580" w:type="dxa"/>
            <w:tcBorders>
              <w:top w:val="nil"/>
              <w:left w:val="nil"/>
              <w:bottom w:val="nil"/>
              <w:right w:val="nil"/>
            </w:tcBorders>
            <w:shd w:val="clear" w:color="auto" w:fill="auto"/>
            <w:noWrap/>
            <w:vAlign w:val="bottom"/>
            <w:hideMark/>
          </w:tcPr>
          <w:p w14:paraId="1DD4ECE1" w14:textId="77777777" w:rsidR="001F27DD" w:rsidRPr="0095004E" w:rsidRDefault="001F27DD" w:rsidP="006D2DA3">
            <w:pPr>
              <w:jc w:val="right"/>
              <w:rPr>
                <w:color w:val="000000"/>
                <w:sz w:val="20"/>
                <w:szCs w:val="20"/>
              </w:rPr>
            </w:pPr>
            <w:r w:rsidRPr="0095004E">
              <w:rPr>
                <w:color w:val="000000"/>
                <w:sz w:val="20"/>
                <w:szCs w:val="20"/>
              </w:rPr>
              <w:t>6.320464826</w:t>
            </w:r>
          </w:p>
        </w:tc>
        <w:tc>
          <w:tcPr>
            <w:tcW w:w="1540" w:type="dxa"/>
            <w:tcBorders>
              <w:top w:val="nil"/>
              <w:left w:val="nil"/>
              <w:bottom w:val="nil"/>
              <w:right w:val="nil"/>
            </w:tcBorders>
            <w:shd w:val="clear" w:color="auto" w:fill="auto"/>
            <w:noWrap/>
            <w:vAlign w:val="bottom"/>
            <w:hideMark/>
          </w:tcPr>
          <w:p w14:paraId="0C9039F3" w14:textId="77777777" w:rsidR="001F27DD" w:rsidRPr="0095004E" w:rsidRDefault="001F27DD" w:rsidP="006D2DA3">
            <w:pPr>
              <w:jc w:val="right"/>
              <w:rPr>
                <w:color w:val="000000"/>
                <w:sz w:val="20"/>
                <w:szCs w:val="20"/>
              </w:rPr>
            </w:pPr>
            <w:r w:rsidRPr="0095004E">
              <w:rPr>
                <w:color w:val="000000"/>
                <w:sz w:val="20"/>
                <w:szCs w:val="20"/>
              </w:rPr>
              <w:t>3.907921504</w:t>
            </w:r>
          </w:p>
        </w:tc>
        <w:tc>
          <w:tcPr>
            <w:tcW w:w="1300" w:type="dxa"/>
            <w:tcBorders>
              <w:top w:val="nil"/>
              <w:left w:val="nil"/>
              <w:bottom w:val="nil"/>
              <w:right w:val="nil"/>
            </w:tcBorders>
            <w:shd w:val="clear" w:color="auto" w:fill="auto"/>
            <w:noWrap/>
            <w:vAlign w:val="bottom"/>
            <w:hideMark/>
          </w:tcPr>
          <w:p w14:paraId="140BDA53" w14:textId="77777777" w:rsidR="001F27DD" w:rsidRPr="0095004E" w:rsidRDefault="001F27DD" w:rsidP="006D2DA3">
            <w:pPr>
              <w:jc w:val="right"/>
              <w:rPr>
                <w:color w:val="000000"/>
                <w:sz w:val="20"/>
                <w:szCs w:val="20"/>
              </w:rPr>
            </w:pPr>
            <w:r w:rsidRPr="0095004E">
              <w:rPr>
                <w:color w:val="000000"/>
                <w:sz w:val="20"/>
                <w:szCs w:val="20"/>
              </w:rPr>
              <w:t>4.58778188</w:t>
            </w:r>
          </w:p>
        </w:tc>
        <w:tc>
          <w:tcPr>
            <w:tcW w:w="1540" w:type="dxa"/>
            <w:tcBorders>
              <w:top w:val="nil"/>
              <w:left w:val="nil"/>
              <w:bottom w:val="nil"/>
              <w:right w:val="nil"/>
            </w:tcBorders>
            <w:shd w:val="clear" w:color="auto" w:fill="auto"/>
            <w:noWrap/>
            <w:vAlign w:val="bottom"/>
            <w:hideMark/>
          </w:tcPr>
          <w:p w14:paraId="25C35ABA" w14:textId="77777777" w:rsidR="001F27DD" w:rsidRPr="0095004E" w:rsidRDefault="001F27DD" w:rsidP="006D2DA3">
            <w:pPr>
              <w:jc w:val="right"/>
              <w:rPr>
                <w:color w:val="000000"/>
                <w:sz w:val="20"/>
                <w:szCs w:val="20"/>
              </w:rPr>
            </w:pPr>
            <w:r w:rsidRPr="0095004E">
              <w:rPr>
                <w:color w:val="000000"/>
                <w:sz w:val="20"/>
                <w:szCs w:val="20"/>
              </w:rPr>
              <w:t>6.342979576</w:t>
            </w:r>
          </w:p>
        </w:tc>
      </w:tr>
      <w:tr w:rsidR="001F27DD" w:rsidRPr="00F30121" w14:paraId="44129120" w14:textId="77777777" w:rsidTr="006D2DA3">
        <w:trPr>
          <w:trHeight w:val="320"/>
        </w:trPr>
        <w:tc>
          <w:tcPr>
            <w:tcW w:w="2580" w:type="dxa"/>
            <w:tcBorders>
              <w:top w:val="nil"/>
              <w:left w:val="nil"/>
              <w:bottom w:val="nil"/>
              <w:right w:val="nil"/>
            </w:tcBorders>
            <w:shd w:val="clear" w:color="auto" w:fill="auto"/>
            <w:noWrap/>
            <w:vAlign w:val="bottom"/>
            <w:hideMark/>
          </w:tcPr>
          <w:p w14:paraId="053DC5DA" w14:textId="77777777" w:rsidR="001F27DD" w:rsidRPr="0095004E" w:rsidRDefault="001F27DD" w:rsidP="006D2DA3">
            <w:pPr>
              <w:rPr>
                <w:color w:val="000000"/>
                <w:sz w:val="20"/>
                <w:szCs w:val="20"/>
              </w:rPr>
            </w:pPr>
            <w:r w:rsidRPr="0095004E">
              <w:rPr>
                <w:color w:val="000000"/>
                <w:sz w:val="20"/>
                <w:szCs w:val="20"/>
              </w:rPr>
              <w:t>Sample Variance</w:t>
            </w:r>
          </w:p>
        </w:tc>
        <w:tc>
          <w:tcPr>
            <w:tcW w:w="1580" w:type="dxa"/>
            <w:tcBorders>
              <w:top w:val="nil"/>
              <w:left w:val="nil"/>
              <w:bottom w:val="nil"/>
              <w:right w:val="nil"/>
            </w:tcBorders>
            <w:shd w:val="clear" w:color="auto" w:fill="auto"/>
            <w:noWrap/>
            <w:vAlign w:val="bottom"/>
            <w:hideMark/>
          </w:tcPr>
          <w:p w14:paraId="2DDBFD89" w14:textId="77777777" w:rsidR="001F27DD" w:rsidRPr="0095004E" w:rsidRDefault="001F27DD" w:rsidP="006D2DA3">
            <w:pPr>
              <w:jc w:val="right"/>
              <w:rPr>
                <w:color w:val="000000"/>
                <w:sz w:val="20"/>
                <w:szCs w:val="20"/>
              </w:rPr>
            </w:pPr>
            <w:r w:rsidRPr="0095004E">
              <w:rPr>
                <w:color w:val="000000"/>
                <w:sz w:val="20"/>
                <w:szCs w:val="20"/>
              </w:rPr>
              <w:t>39.94827561</w:t>
            </w:r>
          </w:p>
        </w:tc>
        <w:tc>
          <w:tcPr>
            <w:tcW w:w="1540" w:type="dxa"/>
            <w:tcBorders>
              <w:top w:val="nil"/>
              <w:left w:val="nil"/>
              <w:bottom w:val="nil"/>
              <w:right w:val="nil"/>
            </w:tcBorders>
            <w:shd w:val="clear" w:color="auto" w:fill="auto"/>
            <w:noWrap/>
            <w:vAlign w:val="bottom"/>
            <w:hideMark/>
          </w:tcPr>
          <w:p w14:paraId="6B9A333B" w14:textId="77777777" w:rsidR="001F27DD" w:rsidRPr="0095004E" w:rsidRDefault="001F27DD" w:rsidP="006D2DA3">
            <w:pPr>
              <w:jc w:val="right"/>
              <w:rPr>
                <w:color w:val="000000"/>
                <w:sz w:val="20"/>
                <w:szCs w:val="20"/>
              </w:rPr>
            </w:pPr>
            <w:r w:rsidRPr="0095004E">
              <w:rPr>
                <w:color w:val="000000"/>
                <w:sz w:val="20"/>
                <w:szCs w:val="20"/>
              </w:rPr>
              <w:t>15.27185048</w:t>
            </w:r>
          </w:p>
        </w:tc>
        <w:tc>
          <w:tcPr>
            <w:tcW w:w="1300" w:type="dxa"/>
            <w:tcBorders>
              <w:top w:val="nil"/>
              <w:left w:val="nil"/>
              <w:bottom w:val="nil"/>
              <w:right w:val="nil"/>
            </w:tcBorders>
            <w:shd w:val="clear" w:color="auto" w:fill="auto"/>
            <w:noWrap/>
            <w:vAlign w:val="bottom"/>
            <w:hideMark/>
          </w:tcPr>
          <w:p w14:paraId="15AC3CB2" w14:textId="77777777" w:rsidR="001F27DD" w:rsidRPr="0095004E" w:rsidRDefault="001F27DD" w:rsidP="006D2DA3">
            <w:pPr>
              <w:jc w:val="right"/>
              <w:rPr>
                <w:color w:val="000000"/>
                <w:sz w:val="20"/>
                <w:szCs w:val="20"/>
              </w:rPr>
            </w:pPr>
            <w:r w:rsidRPr="0095004E">
              <w:rPr>
                <w:color w:val="000000"/>
                <w:sz w:val="20"/>
                <w:szCs w:val="20"/>
              </w:rPr>
              <w:t>21.0477426</w:t>
            </w:r>
          </w:p>
        </w:tc>
        <w:tc>
          <w:tcPr>
            <w:tcW w:w="1540" w:type="dxa"/>
            <w:tcBorders>
              <w:top w:val="nil"/>
              <w:left w:val="nil"/>
              <w:bottom w:val="nil"/>
              <w:right w:val="nil"/>
            </w:tcBorders>
            <w:shd w:val="clear" w:color="auto" w:fill="auto"/>
            <w:noWrap/>
            <w:vAlign w:val="bottom"/>
            <w:hideMark/>
          </w:tcPr>
          <w:p w14:paraId="0BA13FA0" w14:textId="77777777" w:rsidR="001F27DD" w:rsidRPr="0095004E" w:rsidRDefault="001F27DD" w:rsidP="006D2DA3">
            <w:pPr>
              <w:jc w:val="right"/>
              <w:rPr>
                <w:color w:val="000000"/>
                <w:sz w:val="20"/>
                <w:szCs w:val="20"/>
              </w:rPr>
            </w:pPr>
            <w:r w:rsidRPr="0095004E">
              <w:rPr>
                <w:color w:val="000000"/>
                <w:sz w:val="20"/>
                <w:szCs w:val="20"/>
              </w:rPr>
              <w:t>40.2333899</w:t>
            </w:r>
          </w:p>
        </w:tc>
      </w:tr>
      <w:tr w:rsidR="001F27DD" w:rsidRPr="00F30121" w14:paraId="1CB3885E" w14:textId="77777777" w:rsidTr="006D2DA3">
        <w:trPr>
          <w:trHeight w:val="320"/>
        </w:trPr>
        <w:tc>
          <w:tcPr>
            <w:tcW w:w="2580" w:type="dxa"/>
            <w:tcBorders>
              <w:top w:val="nil"/>
              <w:left w:val="nil"/>
              <w:bottom w:val="nil"/>
              <w:right w:val="nil"/>
            </w:tcBorders>
            <w:shd w:val="clear" w:color="auto" w:fill="auto"/>
            <w:noWrap/>
            <w:vAlign w:val="bottom"/>
            <w:hideMark/>
          </w:tcPr>
          <w:p w14:paraId="175654B7" w14:textId="77777777" w:rsidR="001F27DD" w:rsidRPr="0095004E" w:rsidRDefault="001F27DD" w:rsidP="006D2DA3">
            <w:pPr>
              <w:rPr>
                <w:color w:val="000000"/>
                <w:sz w:val="20"/>
                <w:szCs w:val="20"/>
              </w:rPr>
            </w:pPr>
            <w:r w:rsidRPr="0095004E">
              <w:rPr>
                <w:color w:val="000000"/>
                <w:sz w:val="20"/>
                <w:szCs w:val="20"/>
              </w:rPr>
              <w:t>Kurtosis</w:t>
            </w:r>
          </w:p>
        </w:tc>
        <w:tc>
          <w:tcPr>
            <w:tcW w:w="1580" w:type="dxa"/>
            <w:tcBorders>
              <w:top w:val="nil"/>
              <w:left w:val="nil"/>
              <w:bottom w:val="nil"/>
              <w:right w:val="nil"/>
            </w:tcBorders>
            <w:shd w:val="clear" w:color="auto" w:fill="auto"/>
            <w:noWrap/>
            <w:vAlign w:val="bottom"/>
            <w:hideMark/>
          </w:tcPr>
          <w:p w14:paraId="65FCAD05" w14:textId="77777777" w:rsidR="001F27DD" w:rsidRPr="0095004E" w:rsidRDefault="001F27DD" w:rsidP="006D2DA3">
            <w:pPr>
              <w:jc w:val="right"/>
              <w:rPr>
                <w:color w:val="000000"/>
                <w:sz w:val="20"/>
                <w:szCs w:val="20"/>
              </w:rPr>
            </w:pPr>
            <w:r w:rsidRPr="0095004E">
              <w:rPr>
                <w:color w:val="000000"/>
                <w:sz w:val="20"/>
                <w:szCs w:val="20"/>
              </w:rPr>
              <w:t>2.571117174</w:t>
            </w:r>
          </w:p>
        </w:tc>
        <w:tc>
          <w:tcPr>
            <w:tcW w:w="1540" w:type="dxa"/>
            <w:tcBorders>
              <w:top w:val="nil"/>
              <w:left w:val="nil"/>
              <w:bottom w:val="nil"/>
              <w:right w:val="nil"/>
            </w:tcBorders>
            <w:shd w:val="clear" w:color="auto" w:fill="auto"/>
            <w:noWrap/>
            <w:vAlign w:val="bottom"/>
            <w:hideMark/>
          </w:tcPr>
          <w:p w14:paraId="29869007" w14:textId="77777777" w:rsidR="001F27DD" w:rsidRPr="0095004E" w:rsidRDefault="001F27DD" w:rsidP="006D2DA3">
            <w:pPr>
              <w:jc w:val="right"/>
              <w:rPr>
                <w:color w:val="000000"/>
                <w:sz w:val="20"/>
                <w:szCs w:val="20"/>
              </w:rPr>
            </w:pPr>
            <w:r w:rsidRPr="0095004E">
              <w:rPr>
                <w:color w:val="000000"/>
                <w:sz w:val="20"/>
                <w:szCs w:val="20"/>
              </w:rPr>
              <w:t>0.771305984</w:t>
            </w:r>
          </w:p>
        </w:tc>
        <w:tc>
          <w:tcPr>
            <w:tcW w:w="1300" w:type="dxa"/>
            <w:tcBorders>
              <w:top w:val="nil"/>
              <w:left w:val="nil"/>
              <w:bottom w:val="nil"/>
              <w:right w:val="nil"/>
            </w:tcBorders>
            <w:shd w:val="clear" w:color="auto" w:fill="auto"/>
            <w:noWrap/>
            <w:vAlign w:val="bottom"/>
            <w:hideMark/>
          </w:tcPr>
          <w:p w14:paraId="2A503602" w14:textId="77777777" w:rsidR="001F27DD" w:rsidRPr="0095004E" w:rsidRDefault="001F27DD" w:rsidP="006D2DA3">
            <w:pPr>
              <w:jc w:val="right"/>
              <w:rPr>
                <w:color w:val="000000"/>
                <w:sz w:val="20"/>
                <w:szCs w:val="20"/>
              </w:rPr>
            </w:pPr>
            <w:r w:rsidRPr="0095004E">
              <w:rPr>
                <w:color w:val="000000"/>
                <w:sz w:val="20"/>
                <w:szCs w:val="20"/>
              </w:rPr>
              <w:t>1.13829012</w:t>
            </w:r>
          </w:p>
        </w:tc>
        <w:tc>
          <w:tcPr>
            <w:tcW w:w="1540" w:type="dxa"/>
            <w:tcBorders>
              <w:top w:val="nil"/>
              <w:left w:val="nil"/>
              <w:bottom w:val="nil"/>
              <w:right w:val="nil"/>
            </w:tcBorders>
            <w:shd w:val="clear" w:color="auto" w:fill="auto"/>
            <w:noWrap/>
            <w:vAlign w:val="bottom"/>
            <w:hideMark/>
          </w:tcPr>
          <w:p w14:paraId="6234BFEB" w14:textId="77777777" w:rsidR="001F27DD" w:rsidRPr="0095004E" w:rsidRDefault="001F27DD" w:rsidP="006D2DA3">
            <w:pPr>
              <w:jc w:val="right"/>
              <w:rPr>
                <w:color w:val="000000"/>
                <w:sz w:val="20"/>
                <w:szCs w:val="20"/>
              </w:rPr>
            </w:pPr>
            <w:r w:rsidRPr="0095004E">
              <w:rPr>
                <w:color w:val="000000"/>
                <w:sz w:val="20"/>
                <w:szCs w:val="20"/>
              </w:rPr>
              <w:t>2.624230763</w:t>
            </w:r>
          </w:p>
        </w:tc>
      </w:tr>
      <w:tr w:rsidR="001F27DD" w:rsidRPr="00F30121" w14:paraId="72E794F5" w14:textId="77777777" w:rsidTr="006D2DA3">
        <w:trPr>
          <w:trHeight w:val="320"/>
        </w:trPr>
        <w:tc>
          <w:tcPr>
            <w:tcW w:w="2580" w:type="dxa"/>
            <w:tcBorders>
              <w:top w:val="nil"/>
              <w:left w:val="nil"/>
              <w:bottom w:val="nil"/>
              <w:right w:val="nil"/>
            </w:tcBorders>
            <w:shd w:val="clear" w:color="auto" w:fill="auto"/>
            <w:noWrap/>
            <w:vAlign w:val="bottom"/>
            <w:hideMark/>
          </w:tcPr>
          <w:p w14:paraId="2E834A80" w14:textId="77777777" w:rsidR="001F27DD" w:rsidRPr="0095004E" w:rsidRDefault="001F27DD" w:rsidP="006D2DA3">
            <w:pPr>
              <w:rPr>
                <w:color w:val="000000"/>
                <w:sz w:val="20"/>
                <w:szCs w:val="20"/>
              </w:rPr>
            </w:pPr>
            <w:r w:rsidRPr="0095004E">
              <w:rPr>
                <w:color w:val="000000"/>
                <w:sz w:val="20"/>
                <w:szCs w:val="20"/>
              </w:rPr>
              <w:t>Skewness</w:t>
            </w:r>
          </w:p>
        </w:tc>
        <w:tc>
          <w:tcPr>
            <w:tcW w:w="1580" w:type="dxa"/>
            <w:tcBorders>
              <w:top w:val="nil"/>
              <w:left w:val="nil"/>
              <w:bottom w:val="nil"/>
              <w:right w:val="nil"/>
            </w:tcBorders>
            <w:shd w:val="clear" w:color="auto" w:fill="auto"/>
            <w:noWrap/>
            <w:vAlign w:val="bottom"/>
            <w:hideMark/>
          </w:tcPr>
          <w:p w14:paraId="7DCDEDDB" w14:textId="77777777" w:rsidR="001F27DD" w:rsidRPr="0095004E" w:rsidRDefault="001F27DD" w:rsidP="006D2DA3">
            <w:pPr>
              <w:jc w:val="right"/>
              <w:rPr>
                <w:color w:val="000000"/>
                <w:sz w:val="20"/>
                <w:szCs w:val="20"/>
              </w:rPr>
            </w:pPr>
            <w:r w:rsidRPr="0095004E">
              <w:rPr>
                <w:color w:val="000000"/>
                <w:sz w:val="20"/>
                <w:szCs w:val="20"/>
              </w:rPr>
              <w:t>-0.646982799</w:t>
            </w:r>
          </w:p>
        </w:tc>
        <w:tc>
          <w:tcPr>
            <w:tcW w:w="1540" w:type="dxa"/>
            <w:tcBorders>
              <w:top w:val="nil"/>
              <w:left w:val="nil"/>
              <w:bottom w:val="nil"/>
              <w:right w:val="nil"/>
            </w:tcBorders>
            <w:shd w:val="clear" w:color="auto" w:fill="auto"/>
            <w:noWrap/>
            <w:vAlign w:val="bottom"/>
            <w:hideMark/>
          </w:tcPr>
          <w:p w14:paraId="602AF733" w14:textId="77777777" w:rsidR="001F27DD" w:rsidRPr="0095004E" w:rsidRDefault="001F27DD" w:rsidP="006D2DA3">
            <w:pPr>
              <w:jc w:val="right"/>
              <w:rPr>
                <w:color w:val="000000"/>
                <w:sz w:val="20"/>
                <w:szCs w:val="20"/>
              </w:rPr>
            </w:pPr>
            <w:r w:rsidRPr="0095004E">
              <w:rPr>
                <w:color w:val="000000"/>
                <w:sz w:val="20"/>
                <w:szCs w:val="20"/>
              </w:rPr>
              <w:t>0.129300782</w:t>
            </w:r>
          </w:p>
        </w:tc>
        <w:tc>
          <w:tcPr>
            <w:tcW w:w="1300" w:type="dxa"/>
            <w:tcBorders>
              <w:top w:val="nil"/>
              <w:left w:val="nil"/>
              <w:bottom w:val="nil"/>
              <w:right w:val="nil"/>
            </w:tcBorders>
            <w:shd w:val="clear" w:color="auto" w:fill="auto"/>
            <w:noWrap/>
            <w:vAlign w:val="bottom"/>
            <w:hideMark/>
          </w:tcPr>
          <w:p w14:paraId="6B5A371E" w14:textId="77777777" w:rsidR="001F27DD" w:rsidRPr="0095004E" w:rsidRDefault="001F27DD" w:rsidP="006D2DA3">
            <w:pPr>
              <w:jc w:val="right"/>
              <w:rPr>
                <w:color w:val="000000"/>
                <w:sz w:val="20"/>
                <w:szCs w:val="20"/>
              </w:rPr>
            </w:pPr>
            <w:r w:rsidRPr="0095004E">
              <w:rPr>
                <w:color w:val="000000"/>
                <w:sz w:val="20"/>
                <w:szCs w:val="20"/>
              </w:rPr>
              <w:t>0.75720599</w:t>
            </w:r>
          </w:p>
        </w:tc>
        <w:tc>
          <w:tcPr>
            <w:tcW w:w="1540" w:type="dxa"/>
            <w:tcBorders>
              <w:top w:val="nil"/>
              <w:left w:val="nil"/>
              <w:bottom w:val="nil"/>
              <w:right w:val="nil"/>
            </w:tcBorders>
            <w:shd w:val="clear" w:color="auto" w:fill="auto"/>
            <w:noWrap/>
            <w:vAlign w:val="bottom"/>
            <w:hideMark/>
          </w:tcPr>
          <w:p w14:paraId="7F0160B2" w14:textId="77777777" w:rsidR="001F27DD" w:rsidRPr="0095004E" w:rsidRDefault="001F27DD" w:rsidP="006D2DA3">
            <w:pPr>
              <w:jc w:val="right"/>
              <w:rPr>
                <w:color w:val="000000"/>
                <w:sz w:val="20"/>
                <w:szCs w:val="20"/>
              </w:rPr>
            </w:pPr>
            <w:r w:rsidRPr="0095004E">
              <w:rPr>
                <w:color w:val="000000"/>
                <w:sz w:val="20"/>
                <w:szCs w:val="20"/>
              </w:rPr>
              <w:t>-0.652561089</w:t>
            </w:r>
          </w:p>
        </w:tc>
      </w:tr>
      <w:tr w:rsidR="001F27DD" w:rsidRPr="00F30121" w14:paraId="368F28AA" w14:textId="77777777" w:rsidTr="006D2DA3">
        <w:trPr>
          <w:trHeight w:val="320"/>
        </w:trPr>
        <w:tc>
          <w:tcPr>
            <w:tcW w:w="2580" w:type="dxa"/>
            <w:tcBorders>
              <w:top w:val="nil"/>
              <w:left w:val="nil"/>
              <w:bottom w:val="nil"/>
              <w:right w:val="nil"/>
            </w:tcBorders>
            <w:shd w:val="clear" w:color="auto" w:fill="auto"/>
            <w:noWrap/>
            <w:vAlign w:val="bottom"/>
            <w:hideMark/>
          </w:tcPr>
          <w:p w14:paraId="394A646E" w14:textId="77777777" w:rsidR="001F27DD" w:rsidRPr="0095004E" w:rsidRDefault="001F27DD" w:rsidP="006D2DA3">
            <w:pPr>
              <w:rPr>
                <w:color w:val="000000"/>
                <w:sz w:val="20"/>
                <w:szCs w:val="20"/>
              </w:rPr>
            </w:pPr>
            <w:r w:rsidRPr="0095004E">
              <w:rPr>
                <w:color w:val="000000"/>
                <w:sz w:val="20"/>
                <w:szCs w:val="20"/>
              </w:rPr>
              <w:t>Range</w:t>
            </w:r>
          </w:p>
        </w:tc>
        <w:tc>
          <w:tcPr>
            <w:tcW w:w="1580" w:type="dxa"/>
            <w:tcBorders>
              <w:top w:val="nil"/>
              <w:left w:val="nil"/>
              <w:bottom w:val="nil"/>
              <w:right w:val="nil"/>
            </w:tcBorders>
            <w:shd w:val="clear" w:color="auto" w:fill="auto"/>
            <w:noWrap/>
            <w:vAlign w:val="bottom"/>
            <w:hideMark/>
          </w:tcPr>
          <w:p w14:paraId="75FB9950" w14:textId="77777777" w:rsidR="001F27DD" w:rsidRPr="0095004E" w:rsidRDefault="001F27DD" w:rsidP="006D2DA3">
            <w:pPr>
              <w:jc w:val="right"/>
              <w:rPr>
                <w:color w:val="000000"/>
                <w:sz w:val="20"/>
                <w:szCs w:val="20"/>
              </w:rPr>
            </w:pPr>
            <w:r w:rsidRPr="0095004E">
              <w:rPr>
                <w:color w:val="000000"/>
                <w:sz w:val="20"/>
                <w:szCs w:val="20"/>
              </w:rPr>
              <w:t>42.34</w:t>
            </w:r>
          </w:p>
        </w:tc>
        <w:tc>
          <w:tcPr>
            <w:tcW w:w="1540" w:type="dxa"/>
            <w:tcBorders>
              <w:top w:val="nil"/>
              <w:left w:val="nil"/>
              <w:bottom w:val="nil"/>
              <w:right w:val="nil"/>
            </w:tcBorders>
            <w:shd w:val="clear" w:color="auto" w:fill="auto"/>
            <w:noWrap/>
            <w:vAlign w:val="bottom"/>
            <w:hideMark/>
          </w:tcPr>
          <w:p w14:paraId="50358B98" w14:textId="77777777" w:rsidR="001F27DD" w:rsidRPr="0095004E" w:rsidRDefault="001F27DD" w:rsidP="006D2DA3">
            <w:pPr>
              <w:jc w:val="right"/>
              <w:rPr>
                <w:color w:val="000000"/>
                <w:sz w:val="20"/>
                <w:szCs w:val="20"/>
              </w:rPr>
            </w:pPr>
            <w:r w:rsidRPr="0095004E">
              <w:rPr>
                <w:color w:val="000000"/>
                <w:sz w:val="20"/>
                <w:szCs w:val="20"/>
              </w:rPr>
              <w:t>21.72</w:t>
            </w:r>
          </w:p>
        </w:tc>
        <w:tc>
          <w:tcPr>
            <w:tcW w:w="1300" w:type="dxa"/>
            <w:tcBorders>
              <w:top w:val="nil"/>
              <w:left w:val="nil"/>
              <w:bottom w:val="nil"/>
              <w:right w:val="nil"/>
            </w:tcBorders>
            <w:shd w:val="clear" w:color="auto" w:fill="auto"/>
            <w:noWrap/>
            <w:vAlign w:val="bottom"/>
            <w:hideMark/>
          </w:tcPr>
          <w:p w14:paraId="31393809" w14:textId="77777777" w:rsidR="001F27DD" w:rsidRPr="0095004E" w:rsidRDefault="001F27DD" w:rsidP="006D2DA3">
            <w:pPr>
              <w:jc w:val="right"/>
              <w:rPr>
                <w:color w:val="000000"/>
                <w:sz w:val="20"/>
                <w:szCs w:val="20"/>
              </w:rPr>
            </w:pPr>
            <w:r w:rsidRPr="0095004E">
              <w:rPr>
                <w:color w:val="000000"/>
                <w:sz w:val="20"/>
                <w:szCs w:val="20"/>
              </w:rPr>
              <w:t>24.96</w:t>
            </w:r>
          </w:p>
        </w:tc>
        <w:tc>
          <w:tcPr>
            <w:tcW w:w="1540" w:type="dxa"/>
            <w:tcBorders>
              <w:top w:val="nil"/>
              <w:left w:val="nil"/>
              <w:bottom w:val="nil"/>
              <w:right w:val="nil"/>
            </w:tcBorders>
            <w:shd w:val="clear" w:color="auto" w:fill="auto"/>
            <w:noWrap/>
            <w:vAlign w:val="bottom"/>
            <w:hideMark/>
          </w:tcPr>
          <w:p w14:paraId="7B2787BC" w14:textId="77777777" w:rsidR="001F27DD" w:rsidRPr="0095004E" w:rsidRDefault="001F27DD" w:rsidP="006D2DA3">
            <w:pPr>
              <w:jc w:val="right"/>
              <w:rPr>
                <w:color w:val="000000"/>
                <w:sz w:val="20"/>
                <w:szCs w:val="20"/>
              </w:rPr>
            </w:pPr>
            <w:r w:rsidRPr="0095004E">
              <w:rPr>
                <w:color w:val="000000"/>
                <w:sz w:val="20"/>
                <w:szCs w:val="20"/>
              </w:rPr>
              <w:t>42.63</w:t>
            </w:r>
          </w:p>
        </w:tc>
      </w:tr>
      <w:tr w:rsidR="001F27DD" w:rsidRPr="00F30121" w14:paraId="48C11812" w14:textId="77777777" w:rsidTr="006D2DA3">
        <w:trPr>
          <w:trHeight w:val="320"/>
        </w:trPr>
        <w:tc>
          <w:tcPr>
            <w:tcW w:w="2580" w:type="dxa"/>
            <w:tcBorders>
              <w:top w:val="nil"/>
              <w:left w:val="nil"/>
              <w:bottom w:val="nil"/>
              <w:right w:val="nil"/>
            </w:tcBorders>
            <w:shd w:val="clear" w:color="auto" w:fill="auto"/>
            <w:noWrap/>
            <w:vAlign w:val="bottom"/>
            <w:hideMark/>
          </w:tcPr>
          <w:p w14:paraId="2D17D4DB" w14:textId="77777777" w:rsidR="001F27DD" w:rsidRPr="0095004E" w:rsidRDefault="001F27DD" w:rsidP="006D2DA3">
            <w:pPr>
              <w:rPr>
                <w:color w:val="000000"/>
                <w:sz w:val="20"/>
                <w:szCs w:val="20"/>
              </w:rPr>
            </w:pPr>
            <w:r w:rsidRPr="0095004E">
              <w:rPr>
                <w:color w:val="000000"/>
                <w:sz w:val="20"/>
                <w:szCs w:val="20"/>
              </w:rPr>
              <w:t>Minimum</w:t>
            </w:r>
          </w:p>
        </w:tc>
        <w:tc>
          <w:tcPr>
            <w:tcW w:w="1580" w:type="dxa"/>
            <w:tcBorders>
              <w:top w:val="nil"/>
              <w:left w:val="nil"/>
              <w:bottom w:val="nil"/>
              <w:right w:val="nil"/>
            </w:tcBorders>
            <w:shd w:val="clear" w:color="auto" w:fill="auto"/>
            <w:noWrap/>
            <w:vAlign w:val="bottom"/>
            <w:hideMark/>
          </w:tcPr>
          <w:p w14:paraId="064D99E6" w14:textId="77777777" w:rsidR="001F27DD" w:rsidRPr="0095004E" w:rsidRDefault="001F27DD" w:rsidP="006D2DA3">
            <w:pPr>
              <w:jc w:val="right"/>
              <w:rPr>
                <w:color w:val="000000"/>
                <w:sz w:val="20"/>
                <w:szCs w:val="20"/>
              </w:rPr>
            </w:pPr>
            <w:r w:rsidRPr="0095004E">
              <w:rPr>
                <w:color w:val="000000"/>
                <w:sz w:val="20"/>
                <w:szCs w:val="20"/>
              </w:rPr>
              <w:t>-25.81</w:t>
            </w:r>
          </w:p>
        </w:tc>
        <w:tc>
          <w:tcPr>
            <w:tcW w:w="1540" w:type="dxa"/>
            <w:tcBorders>
              <w:top w:val="nil"/>
              <w:left w:val="nil"/>
              <w:bottom w:val="nil"/>
              <w:right w:val="nil"/>
            </w:tcBorders>
            <w:shd w:val="clear" w:color="auto" w:fill="auto"/>
            <w:noWrap/>
            <w:vAlign w:val="bottom"/>
            <w:hideMark/>
          </w:tcPr>
          <w:p w14:paraId="6A15B2D7" w14:textId="77777777" w:rsidR="001F27DD" w:rsidRPr="0095004E" w:rsidRDefault="001F27DD" w:rsidP="006D2DA3">
            <w:pPr>
              <w:jc w:val="right"/>
              <w:rPr>
                <w:color w:val="000000"/>
                <w:sz w:val="20"/>
                <w:szCs w:val="20"/>
              </w:rPr>
            </w:pPr>
            <w:r w:rsidRPr="0095004E">
              <w:rPr>
                <w:color w:val="000000"/>
                <w:sz w:val="20"/>
                <w:szCs w:val="20"/>
              </w:rPr>
              <w:t>-10.07</w:t>
            </w:r>
          </w:p>
        </w:tc>
        <w:tc>
          <w:tcPr>
            <w:tcW w:w="1300" w:type="dxa"/>
            <w:tcBorders>
              <w:top w:val="nil"/>
              <w:left w:val="nil"/>
              <w:bottom w:val="nil"/>
              <w:right w:val="nil"/>
            </w:tcBorders>
            <w:shd w:val="clear" w:color="auto" w:fill="auto"/>
            <w:noWrap/>
            <w:vAlign w:val="bottom"/>
            <w:hideMark/>
          </w:tcPr>
          <w:p w14:paraId="5D7ADB57" w14:textId="77777777" w:rsidR="001F27DD" w:rsidRPr="0095004E" w:rsidRDefault="001F27DD" w:rsidP="006D2DA3">
            <w:pPr>
              <w:jc w:val="right"/>
              <w:rPr>
                <w:color w:val="000000"/>
                <w:sz w:val="20"/>
                <w:szCs w:val="20"/>
              </w:rPr>
            </w:pPr>
            <w:r w:rsidRPr="0095004E">
              <w:rPr>
                <w:color w:val="000000"/>
                <w:sz w:val="20"/>
                <w:szCs w:val="20"/>
              </w:rPr>
              <w:t>-6.98</w:t>
            </w:r>
          </w:p>
        </w:tc>
        <w:tc>
          <w:tcPr>
            <w:tcW w:w="1540" w:type="dxa"/>
            <w:tcBorders>
              <w:top w:val="nil"/>
              <w:left w:val="nil"/>
              <w:bottom w:val="nil"/>
              <w:right w:val="nil"/>
            </w:tcBorders>
            <w:shd w:val="clear" w:color="auto" w:fill="auto"/>
            <w:noWrap/>
            <w:vAlign w:val="bottom"/>
            <w:hideMark/>
          </w:tcPr>
          <w:p w14:paraId="4D3D6E66" w14:textId="77777777" w:rsidR="001F27DD" w:rsidRPr="0095004E" w:rsidRDefault="001F27DD" w:rsidP="006D2DA3">
            <w:pPr>
              <w:jc w:val="right"/>
              <w:rPr>
                <w:color w:val="000000"/>
                <w:sz w:val="20"/>
                <w:szCs w:val="20"/>
              </w:rPr>
            </w:pPr>
            <w:r w:rsidRPr="0095004E">
              <w:rPr>
                <w:color w:val="000000"/>
                <w:sz w:val="20"/>
                <w:szCs w:val="20"/>
              </w:rPr>
              <w:t>-26.3</w:t>
            </w:r>
          </w:p>
        </w:tc>
      </w:tr>
      <w:tr w:rsidR="001F27DD" w:rsidRPr="00F30121" w14:paraId="4BFD44FC" w14:textId="77777777" w:rsidTr="006D2DA3">
        <w:trPr>
          <w:trHeight w:val="320"/>
        </w:trPr>
        <w:tc>
          <w:tcPr>
            <w:tcW w:w="2580" w:type="dxa"/>
            <w:tcBorders>
              <w:top w:val="nil"/>
              <w:left w:val="nil"/>
              <w:bottom w:val="nil"/>
              <w:right w:val="nil"/>
            </w:tcBorders>
            <w:shd w:val="clear" w:color="auto" w:fill="auto"/>
            <w:noWrap/>
            <w:vAlign w:val="bottom"/>
            <w:hideMark/>
          </w:tcPr>
          <w:p w14:paraId="32C53C49" w14:textId="77777777" w:rsidR="001F27DD" w:rsidRPr="0095004E" w:rsidRDefault="001F27DD" w:rsidP="006D2DA3">
            <w:pPr>
              <w:rPr>
                <w:color w:val="000000"/>
                <w:sz w:val="20"/>
                <w:szCs w:val="20"/>
              </w:rPr>
            </w:pPr>
            <w:r w:rsidRPr="0095004E">
              <w:rPr>
                <w:color w:val="000000"/>
                <w:sz w:val="20"/>
                <w:szCs w:val="20"/>
              </w:rPr>
              <w:t>Maximum</w:t>
            </w:r>
          </w:p>
        </w:tc>
        <w:tc>
          <w:tcPr>
            <w:tcW w:w="1580" w:type="dxa"/>
            <w:tcBorders>
              <w:top w:val="nil"/>
              <w:left w:val="nil"/>
              <w:bottom w:val="nil"/>
              <w:right w:val="nil"/>
            </w:tcBorders>
            <w:shd w:val="clear" w:color="auto" w:fill="auto"/>
            <w:noWrap/>
            <w:vAlign w:val="bottom"/>
            <w:hideMark/>
          </w:tcPr>
          <w:p w14:paraId="53A69CE0" w14:textId="77777777" w:rsidR="001F27DD" w:rsidRPr="0095004E" w:rsidRDefault="001F27DD" w:rsidP="006D2DA3">
            <w:pPr>
              <w:jc w:val="right"/>
              <w:rPr>
                <w:color w:val="000000"/>
                <w:sz w:val="20"/>
                <w:szCs w:val="20"/>
              </w:rPr>
            </w:pPr>
            <w:r w:rsidRPr="0095004E">
              <w:rPr>
                <w:color w:val="000000"/>
                <w:sz w:val="20"/>
                <w:szCs w:val="20"/>
              </w:rPr>
              <w:t>16.53</w:t>
            </w:r>
          </w:p>
        </w:tc>
        <w:tc>
          <w:tcPr>
            <w:tcW w:w="1540" w:type="dxa"/>
            <w:tcBorders>
              <w:top w:val="nil"/>
              <w:left w:val="nil"/>
              <w:bottom w:val="nil"/>
              <w:right w:val="nil"/>
            </w:tcBorders>
            <w:shd w:val="clear" w:color="auto" w:fill="auto"/>
            <w:noWrap/>
            <w:vAlign w:val="bottom"/>
            <w:hideMark/>
          </w:tcPr>
          <w:p w14:paraId="39DD2DD8" w14:textId="77777777" w:rsidR="001F27DD" w:rsidRPr="0095004E" w:rsidRDefault="001F27DD" w:rsidP="006D2DA3">
            <w:pPr>
              <w:jc w:val="right"/>
              <w:rPr>
                <w:color w:val="000000"/>
                <w:sz w:val="20"/>
                <w:szCs w:val="20"/>
              </w:rPr>
            </w:pPr>
            <w:r w:rsidRPr="0095004E">
              <w:rPr>
                <w:color w:val="000000"/>
                <w:sz w:val="20"/>
                <w:szCs w:val="20"/>
              </w:rPr>
              <w:t>11.65</w:t>
            </w:r>
          </w:p>
        </w:tc>
        <w:tc>
          <w:tcPr>
            <w:tcW w:w="1300" w:type="dxa"/>
            <w:tcBorders>
              <w:top w:val="nil"/>
              <w:left w:val="nil"/>
              <w:bottom w:val="nil"/>
              <w:right w:val="nil"/>
            </w:tcBorders>
            <w:shd w:val="clear" w:color="auto" w:fill="auto"/>
            <w:noWrap/>
            <w:vAlign w:val="bottom"/>
            <w:hideMark/>
          </w:tcPr>
          <w:p w14:paraId="75348398" w14:textId="77777777" w:rsidR="001F27DD" w:rsidRPr="0095004E" w:rsidRDefault="001F27DD" w:rsidP="006D2DA3">
            <w:pPr>
              <w:jc w:val="right"/>
              <w:rPr>
                <w:color w:val="000000"/>
                <w:sz w:val="20"/>
                <w:szCs w:val="20"/>
              </w:rPr>
            </w:pPr>
            <w:r w:rsidRPr="0095004E">
              <w:rPr>
                <w:color w:val="000000"/>
                <w:sz w:val="20"/>
                <w:szCs w:val="20"/>
              </w:rPr>
              <w:t>17.98</w:t>
            </w:r>
          </w:p>
        </w:tc>
        <w:tc>
          <w:tcPr>
            <w:tcW w:w="1540" w:type="dxa"/>
            <w:tcBorders>
              <w:top w:val="nil"/>
              <w:left w:val="nil"/>
              <w:bottom w:val="nil"/>
              <w:right w:val="nil"/>
            </w:tcBorders>
            <w:shd w:val="clear" w:color="auto" w:fill="auto"/>
            <w:noWrap/>
            <w:vAlign w:val="bottom"/>
            <w:hideMark/>
          </w:tcPr>
          <w:p w14:paraId="7AA94D09" w14:textId="77777777" w:rsidR="001F27DD" w:rsidRPr="0095004E" w:rsidRDefault="001F27DD" w:rsidP="006D2DA3">
            <w:pPr>
              <w:jc w:val="right"/>
              <w:rPr>
                <w:color w:val="000000"/>
                <w:sz w:val="20"/>
                <w:szCs w:val="20"/>
              </w:rPr>
            </w:pPr>
            <w:r w:rsidRPr="0095004E">
              <w:rPr>
                <w:color w:val="000000"/>
                <w:sz w:val="20"/>
                <w:szCs w:val="20"/>
              </w:rPr>
              <w:t>16.33</w:t>
            </w:r>
          </w:p>
        </w:tc>
      </w:tr>
      <w:tr w:rsidR="001F27DD" w:rsidRPr="00F30121" w14:paraId="6D3E8D2A" w14:textId="77777777" w:rsidTr="006D2DA3">
        <w:trPr>
          <w:trHeight w:val="320"/>
        </w:trPr>
        <w:tc>
          <w:tcPr>
            <w:tcW w:w="2580" w:type="dxa"/>
            <w:tcBorders>
              <w:top w:val="nil"/>
              <w:left w:val="nil"/>
              <w:bottom w:val="nil"/>
              <w:right w:val="nil"/>
            </w:tcBorders>
            <w:shd w:val="clear" w:color="auto" w:fill="auto"/>
            <w:noWrap/>
            <w:vAlign w:val="bottom"/>
            <w:hideMark/>
          </w:tcPr>
          <w:p w14:paraId="4E4C54FB" w14:textId="77777777" w:rsidR="001F27DD" w:rsidRPr="0095004E" w:rsidRDefault="001F27DD" w:rsidP="006D2DA3">
            <w:pPr>
              <w:rPr>
                <w:color w:val="000000"/>
                <w:sz w:val="20"/>
                <w:szCs w:val="20"/>
              </w:rPr>
            </w:pPr>
            <w:r w:rsidRPr="0095004E">
              <w:rPr>
                <w:color w:val="000000"/>
                <w:sz w:val="20"/>
                <w:szCs w:val="20"/>
              </w:rPr>
              <w:t>Sum</w:t>
            </w:r>
          </w:p>
        </w:tc>
        <w:tc>
          <w:tcPr>
            <w:tcW w:w="1580" w:type="dxa"/>
            <w:tcBorders>
              <w:top w:val="nil"/>
              <w:left w:val="nil"/>
              <w:bottom w:val="nil"/>
              <w:right w:val="nil"/>
            </w:tcBorders>
            <w:shd w:val="clear" w:color="auto" w:fill="auto"/>
            <w:noWrap/>
            <w:vAlign w:val="bottom"/>
            <w:hideMark/>
          </w:tcPr>
          <w:p w14:paraId="61650E6D" w14:textId="77777777" w:rsidR="001F27DD" w:rsidRPr="0095004E" w:rsidRDefault="001F27DD" w:rsidP="006D2DA3">
            <w:pPr>
              <w:jc w:val="right"/>
              <w:rPr>
                <w:color w:val="000000"/>
                <w:sz w:val="20"/>
                <w:szCs w:val="20"/>
              </w:rPr>
            </w:pPr>
            <w:r w:rsidRPr="0095004E">
              <w:rPr>
                <w:color w:val="000000"/>
                <w:sz w:val="20"/>
                <w:szCs w:val="20"/>
              </w:rPr>
              <w:t>104.36</w:t>
            </w:r>
          </w:p>
        </w:tc>
        <w:tc>
          <w:tcPr>
            <w:tcW w:w="1540" w:type="dxa"/>
            <w:tcBorders>
              <w:top w:val="nil"/>
              <w:left w:val="nil"/>
              <w:bottom w:val="nil"/>
              <w:right w:val="nil"/>
            </w:tcBorders>
            <w:shd w:val="clear" w:color="auto" w:fill="auto"/>
            <w:noWrap/>
            <w:vAlign w:val="bottom"/>
            <w:hideMark/>
          </w:tcPr>
          <w:p w14:paraId="7CE7655A" w14:textId="77777777" w:rsidR="001F27DD" w:rsidRPr="0095004E" w:rsidRDefault="001F27DD" w:rsidP="006D2DA3">
            <w:pPr>
              <w:jc w:val="right"/>
              <w:rPr>
                <w:color w:val="000000"/>
                <w:sz w:val="20"/>
                <w:szCs w:val="20"/>
              </w:rPr>
            </w:pPr>
            <w:r w:rsidRPr="0095004E">
              <w:rPr>
                <w:color w:val="000000"/>
                <w:sz w:val="20"/>
                <w:szCs w:val="20"/>
              </w:rPr>
              <w:t>107.86</w:t>
            </w:r>
          </w:p>
        </w:tc>
        <w:tc>
          <w:tcPr>
            <w:tcW w:w="1300" w:type="dxa"/>
            <w:tcBorders>
              <w:top w:val="nil"/>
              <w:left w:val="nil"/>
              <w:bottom w:val="nil"/>
              <w:right w:val="nil"/>
            </w:tcBorders>
            <w:shd w:val="clear" w:color="auto" w:fill="auto"/>
            <w:noWrap/>
            <w:vAlign w:val="bottom"/>
            <w:hideMark/>
          </w:tcPr>
          <w:p w14:paraId="54283444" w14:textId="77777777" w:rsidR="001F27DD" w:rsidRPr="0095004E" w:rsidRDefault="001F27DD" w:rsidP="006D2DA3">
            <w:pPr>
              <w:jc w:val="right"/>
              <w:rPr>
                <w:color w:val="000000"/>
                <w:sz w:val="20"/>
                <w:szCs w:val="20"/>
              </w:rPr>
            </w:pPr>
            <w:r w:rsidRPr="0095004E">
              <w:rPr>
                <w:color w:val="000000"/>
                <w:sz w:val="20"/>
                <w:szCs w:val="20"/>
              </w:rPr>
              <w:t>82.01</w:t>
            </w:r>
          </w:p>
        </w:tc>
        <w:tc>
          <w:tcPr>
            <w:tcW w:w="1540" w:type="dxa"/>
            <w:tcBorders>
              <w:top w:val="nil"/>
              <w:left w:val="nil"/>
              <w:bottom w:val="nil"/>
              <w:right w:val="nil"/>
            </w:tcBorders>
            <w:shd w:val="clear" w:color="auto" w:fill="auto"/>
            <w:noWrap/>
            <w:vAlign w:val="bottom"/>
            <w:hideMark/>
          </w:tcPr>
          <w:p w14:paraId="2569F73C" w14:textId="77777777" w:rsidR="001F27DD" w:rsidRPr="0095004E" w:rsidRDefault="001F27DD" w:rsidP="006D2DA3">
            <w:pPr>
              <w:jc w:val="right"/>
              <w:rPr>
                <w:color w:val="000000"/>
                <w:sz w:val="20"/>
                <w:szCs w:val="20"/>
              </w:rPr>
            </w:pPr>
            <w:r w:rsidRPr="0095004E">
              <w:rPr>
                <w:color w:val="000000"/>
                <w:sz w:val="20"/>
                <w:szCs w:val="20"/>
              </w:rPr>
              <w:t>74.13</w:t>
            </w:r>
          </w:p>
        </w:tc>
      </w:tr>
      <w:tr w:rsidR="001F27DD" w:rsidRPr="00F30121" w14:paraId="2E78D669" w14:textId="77777777" w:rsidTr="006D2DA3">
        <w:trPr>
          <w:trHeight w:val="320"/>
        </w:trPr>
        <w:tc>
          <w:tcPr>
            <w:tcW w:w="2580" w:type="dxa"/>
            <w:tcBorders>
              <w:top w:val="nil"/>
              <w:left w:val="nil"/>
              <w:bottom w:val="nil"/>
              <w:right w:val="nil"/>
            </w:tcBorders>
            <w:shd w:val="clear" w:color="auto" w:fill="auto"/>
            <w:noWrap/>
            <w:vAlign w:val="bottom"/>
            <w:hideMark/>
          </w:tcPr>
          <w:p w14:paraId="13BA7255" w14:textId="77777777" w:rsidR="001F27DD" w:rsidRPr="0095004E" w:rsidRDefault="001F27DD" w:rsidP="006D2DA3">
            <w:pPr>
              <w:rPr>
                <w:color w:val="000000"/>
                <w:sz w:val="20"/>
                <w:szCs w:val="20"/>
              </w:rPr>
            </w:pPr>
            <w:r w:rsidRPr="0095004E">
              <w:rPr>
                <w:color w:val="000000"/>
                <w:sz w:val="20"/>
                <w:szCs w:val="20"/>
              </w:rPr>
              <w:t>Count</w:t>
            </w:r>
          </w:p>
        </w:tc>
        <w:tc>
          <w:tcPr>
            <w:tcW w:w="1580" w:type="dxa"/>
            <w:tcBorders>
              <w:top w:val="nil"/>
              <w:left w:val="nil"/>
              <w:bottom w:val="nil"/>
              <w:right w:val="nil"/>
            </w:tcBorders>
            <w:shd w:val="clear" w:color="auto" w:fill="auto"/>
            <w:noWrap/>
            <w:vAlign w:val="bottom"/>
            <w:hideMark/>
          </w:tcPr>
          <w:p w14:paraId="72C0D3E8"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6A8E71DA" w14:textId="77777777" w:rsidR="001F27DD" w:rsidRPr="0095004E" w:rsidRDefault="001F27DD" w:rsidP="006D2DA3">
            <w:pPr>
              <w:jc w:val="right"/>
              <w:rPr>
                <w:color w:val="000000"/>
                <w:sz w:val="20"/>
                <w:szCs w:val="20"/>
              </w:rPr>
            </w:pPr>
            <w:r w:rsidRPr="0095004E">
              <w:rPr>
                <w:color w:val="000000"/>
                <w:sz w:val="20"/>
                <w:szCs w:val="20"/>
              </w:rPr>
              <w:t>96</w:t>
            </w:r>
          </w:p>
        </w:tc>
        <w:tc>
          <w:tcPr>
            <w:tcW w:w="1300" w:type="dxa"/>
            <w:tcBorders>
              <w:top w:val="nil"/>
              <w:left w:val="nil"/>
              <w:bottom w:val="nil"/>
              <w:right w:val="nil"/>
            </w:tcBorders>
            <w:shd w:val="clear" w:color="auto" w:fill="auto"/>
            <w:noWrap/>
            <w:vAlign w:val="bottom"/>
            <w:hideMark/>
          </w:tcPr>
          <w:p w14:paraId="75B29AB9"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5FE6A5F0" w14:textId="77777777" w:rsidR="001F27DD" w:rsidRPr="0095004E" w:rsidRDefault="001F27DD" w:rsidP="006D2DA3">
            <w:pPr>
              <w:jc w:val="right"/>
              <w:rPr>
                <w:color w:val="000000"/>
                <w:sz w:val="20"/>
                <w:szCs w:val="20"/>
              </w:rPr>
            </w:pPr>
            <w:r w:rsidRPr="0095004E">
              <w:rPr>
                <w:color w:val="000000"/>
                <w:sz w:val="20"/>
                <w:szCs w:val="20"/>
              </w:rPr>
              <w:t>96</w:t>
            </w:r>
          </w:p>
        </w:tc>
      </w:tr>
      <w:tr w:rsidR="001F27DD" w:rsidRPr="00F30121" w14:paraId="7E3F2524" w14:textId="77777777" w:rsidTr="006D2DA3">
        <w:trPr>
          <w:trHeight w:val="340"/>
        </w:trPr>
        <w:tc>
          <w:tcPr>
            <w:tcW w:w="2580" w:type="dxa"/>
            <w:tcBorders>
              <w:top w:val="nil"/>
              <w:left w:val="nil"/>
              <w:bottom w:val="single" w:sz="8" w:space="0" w:color="auto"/>
              <w:right w:val="nil"/>
            </w:tcBorders>
            <w:shd w:val="clear" w:color="auto" w:fill="auto"/>
            <w:noWrap/>
            <w:vAlign w:val="bottom"/>
            <w:hideMark/>
          </w:tcPr>
          <w:p w14:paraId="6CC63509" w14:textId="77777777" w:rsidR="001F27DD" w:rsidRPr="0095004E" w:rsidRDefault="001F27DD" w:rsidP="006D2DA3">
            <w:pPr>
              <w:rPr>
                <w:color w:val="000000"/>
                <w:sz w:val="20"/>
                <w:szCs w:val="20"/>
              </w:rPr>
            </w:pPr>
            <w:r w:rsidRPr="0095004E">
              <w:rPr>
                <w:color w:val="000000"/>
                <w:sz w:val="20"/>
                <w:szCs w:val="20"/>
              </w:rPr>
              <w:t>Confidence Level(95.0%)</w:t>
            </w:r>
          </w:p>
        </w:tc>
        <w:tc>
          <w:tcPr>
            <w:tcW w:w="1580" w:type="dxa"/>
            <w:tcBorders>
              <w:top w:val="nil"/>
              <w:left w:val="nil"/>
              <w:bottom w:val="single" w:sz="8" w:space="0" w:color="auto"/>
              <w:right w:val="nil"/>
            </w:tcBorders>
            <w:shd w:val="clear" w:color="auto" w:fill="auto"/>
            <w:noWrap/>
            <w:vAlign w:val="bottom"/>
            <w:hideMark/>
          </w:tcPr>
          <w:p w14:paraId="0AED91A2" w14:textId="77777777" w:rsidR="001F27DD" w:rsidRPr="0095004E" w:rsidRDefault="001F27DD" w:rsidP="006D2DA3">
            <w:pPr>
              <w:jc w:val="right"/>
              <w:rPr>
                <w:color w:val="000000"/>
                <w:sz w:val="20"/>
                <w:szCs w:val="20"/>
              </w:rPr>
            </w:pPr>
            <w:r w:rsidRPr="0095004E">
              <w:rPr>
                <w:color w:val="000000"/>
                <w:sz w:val="20"/>
                <w:szCs w:val="20"/>
              </w:rPr>
              <w:t>1.280645201</w:t>
            </w:r>
          </w:p>
        </w:tc>
        <w:tc>
          <w:tcPr>
            <w:tcW w:w="1540" w:type="dxa"/>
            <w:tcBorders>
              <w:top w:val="nil"/>
              <w:left w:val="nil"/>
              <w:bottom w:val="single" w:sz="8" w:space="0" w:color="auto"/>
              <w:right w:val="nil"/>
            </w:tcBorders>
            <w:shd w:val="clear" w:color="auto" w:fill="auto"/>
            <w:noWrap/>
            <w:vAlign w:val="bottom"/>
            <w:hideMark/>
          </w:tcPr>
          <w:p w14:paraId="56F8B4F7" w14:textId="77777777" w:rsidR="001F27DD" w:rsidRPr="0095004E" w:rsidRDefault="001F27DD" w:rsidP="006D2DA3">
            <w:pPr>
              <w:jc w:val="right"/>
              <w:rPr>
                <w:color w:val="000000"/>
                <w:sz w:val="20"/>
                <w:szCs w:val="20"/>
              </w:rPr>
            </w:pPr>
            <w:r w:rsidRPr="0095004E">
              <w:rPr>
                <w:color w:val="000000"/>
                <w:sz w:val="20"/>
                <w:szCs w:val="20"/>
              </w:rPr>
              <w:t>0.791818491</w:t>
            </w:r>
          </w:p>
        </w:tc>
        <w:tc>
          <w:tcPr>
            <w:tcW w:w="1300" w:type="dxa"/>
            <w:tcBorders>
              <w:top w:val="nil"/>
              <w:left w:val="nil"/>
              <w:bottom w:val="single" w:sz="8" w:space="0" w:color="auto"/>
              <w:right w:val="nil"/>
            </w:tcBorders>
            <w:shd w:val="clear" w:color="auto" w:fill="auto"/>
            <w:noWrap/>
            <w:vAlign w:val="bottom"/>
            <w:hideMark/>
          </w:tcPr>
          <w:p w14:paraId="1E433BA7" w14:textId="77777777" w:rsidR="001F27DD" w:rsidRPr="0095004E" w:rsidRDefault="001F27DD" w:rsidP="006D2DA3">
            <w:pPr>
              <w:jc w:val="right"/>
              <w:rPr>
                <w:color w:val="000000"/>
                <w:sz w:val="20"/>
                <w:szCs w:val="20"/>
              </w:rPr>
            </w:pPr>
            <w:r w:rsidRPr="0095004E">
              <w:rPr>
                <w:color w:val="000000"/>
                <w:sz w:val="20"/>
                <w:szCs w:val="20"/>
              </w:rPr>
              <w:t>0.92957101</w:t>
            </w:r>
          </w:p>
        </w:tc>
        <w:tc>
          <w:tcPr>
            <w:tcW w:w="1540" w:type="dxa"/>
            <w:tcBorders>
              <w:top w:val="nil"/>
              <w:left w:val="nil"/>
              <w:bottom w:val="single" w:sz="8" w:space="0" w:color="auto"/>
              <w:right w:val="nil"/>
            </w:tcBorders>
            <w:shd w:val="clear" w:color="auto" w:fill="auto"/>
            <w:noWrap/>
            <w:vAlign w:val="bottom"/>
            <w:hideMark/>
          </w:tcPr>
          <w:p w14:paraId="145439EE" w14:textId="77777777" w:rsidR="001F27DD" w:rsidRPr="0095004E" w:rsidRDefault="001F27DD" w:rsidP="006D2DA3">
            <w:pPr>
              <w:jc w:val="right"/>
              <w:rPr>
                <w:color w:val="000000"/>
                <w:sz w:val="20"/>
                <w:szCs w:val="20"/>
              </w:rPr>
            </w:pPr>
            <w:r w:rsidRPr="0095004E">
              <w:rPr>
                <w:color w:val="000000"/>
                <w:sz w:val="20"/>
                <w:szCs w:val="20"/>
              </w:rPr>
              <w:t>1.285207114</w:t>
            </w:r>
          </w:p>
        </w:tc>
      </w:tr>
    </w:tbl>
    <w:p w14:paraId="5780D36F" w14:textId="77777777" w:rsidR="001F27DD" w:rsidRDefault="001F27DD" w:rsidP="001F27DD">
      <w:pPr>
        <w:rPr>
          <w:sz w:val="22"/>
          <w:szCs w:val="22"/>
        </w:rPr>
      </w:pPr>
    </w:p>
    <w:p w14:paraId="0F2BD851" w14:textId="77777777" w:rsidR="001F27DD" w:rsidRDefault="001F27DD" w:rsidP="001F27DD">
      <w:pPr>
        <w:rPr>
          <w:sz w:val="22"/>
          <w:szCs w:val="22"/>
        </w:rPr>
      </w:pPr>
    </w:p>
    <w:p w14:paraId="20164191" w14:textId="77777777" w:rsidR="001F27DD" w:rsidRPr="0095004E" w:rsidRDefault="001F27DD" w:rsidP="001F27DD">
      <w:pPr>
        <w:pStyle w:val="paragraph"/>
        <w:spacing w:before="0" w:beforeAutospacing="0" w:after="0" w:afterAutospacing="0"/>
        <w:textAlignment w:val="baseline"/>
        <w:rPr>
          <w:b/>
          <w:bCs/>
          <w:sz w:val="22"/>
          <w:szCs w:val="22"/>
        </w:rPr>
      </w:pPr>
      <w:r w:rsidRPr="0095004E">
        <w:rPr>
          <w:rStyle w:val="normaltextrun"/>
          <w:b/>
          <w:bCs/>
        </w:rPr>
        <w:t xml:space="preserve">Table 5: Descriptive statistics of independent variables and the monthly returns </w:t>
      </w:r>
    </w:p>
    <w:tbl>
      <w:tblPr>
        <w:tblW w:w="8540" w:type="dxa"/>
        <w:tblLook w:val="04A0" w:firstRow="1" w:lastRow="0" w:firstColumn="1" w:lastColumn="0" w:noHBand="0" w:noVBand="1"/>
      </w:tblPr>
      <w:tblGrid>
        <w:gridCol w:w="2580"/>
        <w:gridCol w:w="1580"/>
        <w:gridCol w:w="1540"/>
        <w:gridCol w:w="1300"/>
        <w:gridCol w:w="1540"/>
      </w:tblGrid>
      <w:tr w:rsidR="001F27DD" w:rsidRPr="0095004E" w14:paraId="6BB4B12E" w14:textId="77777777" w:rsidTr="006D2DA3">
        <w:trPr>
          <w:trHeight w:val="320"/>
        </w:trPr>
        <w:tc>
          <w:tcPr>
            <w:tcW w:w="2580" w:type="dxa"/>
            <w:tcBorders>
              <w:top w:val="single" w:sz="8" w:space="0" w:color="auto"/>
              <w:left w:val="nil"/>
              <w:bottom w:val="single" w:sz="4" w:space="0" w:color="auto"/>
              <w:right w:val="nil"/>
            </w:tcBorders>
            <w:shd w:val="clear" w:color="auto" w:fill="auto"/>
            <w:noWrap/>
            <w:vAlign w:val="bottom"/>
            <w:hideMark/>
          </w:tcPr>
          <w:p w14:paraId="10DE1C9D" w14:textId="77777777" w:rsidR="001F27DD" w:rsidRPr="0095004E" w:rsidRDefault="001F27DD" w:rsidP="006D2DA3">
            <w:pPr>
              <w:jc w:val="center"/>
              <w:rPr>
                <w:i/>
                <w:iCs/>
                <w:color w:val="000000"/>
                <w:sz w:val="20"/>
                <w:szCs w:val="20"/>
              </w:rPr>
            </w:pPr>
            <w:r w:rsidRPr="0095004E">
              <w:rPr>
                <w:i/>
                <w:iCs/>
                <w:color w:val="000000"/>
                <w:sz w:val="20"/>
                <w:szCs w:val="20"/>
              </w:rPr>
              <w:t>Hong Kong</w:t>
            </w:r>
          </w:p>
        </w:tc>
        <w:tc>
          <w:tcPr>
            <w:tcW w:w="1580" w:type="dxa"/>
            <w:tcBorders>
              <w:top w:val="single" w:sz="8" w:space="0" w:color="auto"/>
              <w:left w:val="nil"/>
              <w:bottom w:val="single" w:sz="4" w:space="0" w:color="auto"/>
              <w:right w:val="nil"/>
            </w:tcBorders>
            <w:shd w:val="clear" w:color="auto" w:fill="auto"/>
            <w:noWrap/>
            <w:vAlign w:val="bottom"/>
            <w:hideMark/>
          </w:tcPr>
          <w:p w14:paraId="33FC6AB5" w14:textId="77777777" w:rsidR="001F27DD" w:rsidRPr="0095004E" w:rsidRDefault="001F27DD" w:rsidP="006D2DA3">
            <w:pPr>
              <w:jc w:val="center"/>
              <w:rPr>
                <w:i/>
                <w:iCs/>
                <w:color w:val="000000"/>
                <w:sz w:val="20"/>
                <w:szCs w:val="20"/>
              </w:rPr>
            </w:pPr>
            <w:r w:rsidRPr="0095004E">
              <w:rPr>
                <w:i/>
                <w:iCs/>
                <w:color w:val="000000"/>
                <w:sz w:val="20"/>
                <w:szCs w:val="20"/>
              </w:rPr>
              <w:t>Returns</w:t>
            </w:r>
          </w:p>
        </w:tc>
        <w:tc>
          <w:tcPr>
            <w:tcW w:w="1540" w:type="dxa"/>
            <w:tcBorders>
              <w:top w:val="single" w:sz="8" w:space="0" w:color="auto"/>
              <w:left w:val="nil"/>
              <w:bottom w:val="single" w:sz="4" w:space="0" w:color="auto"/>
              <w:right w:val="nil"/>
            </w:tcBorders>
            <w:shd w:val="clear" w:color="auto" w:fill="auto"/>
            <w:noWrap/>
            <w:vAlign w:val="bottom"/>
            <w:hideMark/>
          </w:tcPr>
          <w:p w14:paraId="75967A04" w14:textId="77777777" w:rsidR="001F27DD" w:rsidRPr="0095004E" w:rsidRDefault="001F27DD" w:rsidP="006D2DA3">
            <w:pPr>
              <w:jc w:val="center"/>
              <w:rPr>
                <w:i/>
                <w:iCs/>
                <w:color w:val="000000"/>
                <w:sz w:val="20"/>
                <w:szCs w:val="20"/>
              </w:rPr>
            </w:pPr>
            <w:r w:rsidRPr="0095004E">
              <w:rPr>
                <w:i/>
                <w:iCs/>
                <w:color w:val="000000"/>
                <w:sz w:val="20"/>
                <w:szCs w:val="20"/>
              </w:rPr>
              <w:t>HML</w:t>
            </w:r>
          </w:p>
        </w:tc>
        <w:tc>
          <w:tcPr>
            <w:tcW w:w="1300" w:type="dxa"/>
            <w:tcBorders>
              <w:top w:val="single" w:sz="8" w:space="0" w:color="auto"/>
              <w:left w:val="nil"/>
              <w:bottom w:val="single" w:sz="4" w:space="0" w:color="auto"/>
              <w:right w:val="nil"/>
            </w:tcBorders>
            <w:shd w:val="clear" w:color="auto" w:fill="auto"/>
            <w:noWrap/>
            <w:vAlign w:val="bottom"/>
            <w:hideMark/>
          </w:tcPr>
          <w:p w14:paraId="28D3EA9C" w14:textId="77777777" w:rsidR="001F27DD" w:rsidRPr="0095004E" w:rsidRDefault="001F27DD" w:rsidP="006D2DA3">
            <w:pPr>
              <w:jc w:val="center"/>
              <w:rPr>
                <w:i/>
                <w:iCs/>
                <w:color w:val="000000"/>
                <w:sz w:val="20"/>
                <w:szCs w:val="20"/>
              </w:rPr>
            </w:pPr>
            <w:r w:rsidRPr="0095004E">
              <w:rPr>
                <w:i/>
                <w:iCs/>
                <w:color w:val="000000"/>
                <w:sz w:val="20"/>
                <w:szCs w:val="20"/>
              </w:rPr>
              <w:t>SMB</w:t>
            </w:r>
          </w:p>
        </w:tc>
        <w:tc>
          <w:tcPr>
            <w:tcW w:w="1540" w:type="dxa"/>
            <w:tcBorders>
              <w:top w:val="single" w:sz="8" w:space="0" w:color="auto"/>
              <w:left w:val="nil"/>
              <w:bottom w:val="single" w:sz="4" w:space="0" w:color="auto"/>
              <w:right w:val="nil"/>
            </w:tcBorders>
            <w:shd w:val="clear" w:color="auto" w:fill="auto"/>
            <w:noWrap/>
            <w:vAlign w:val="bottom"/>
            <w:hideMark/>
          </w:tcPr>
          <w:p w14:paraId="64DC1F96" w14:textId="77777777" w:rsidR="001F27DD" w:rsidRPr="0095004E" w:rsidRDefault="001F27DD" w:rsidP="006D2DA3">
            <w:pPr>
              <w:jc w:val="center"/>
              <w:rPr>
                <w:i/>
                <w:iCs/>
                <w:color w:val="000000"/>
                <w:sz w:val="20"/>
                <w:szCs w:val="20"/>
              </w:rPr>
            </w:pPr>
            <w:r w:rsidRPr="0095004E">
              <w:rPr>
                <w:i/>
                <w:iCs/>
                <w:color w:val="000000"/>
                <w:sz w:val="20"/>
                <w:szCs w:val="20"/>
              </w:rPr>
              <w:t>Rm_Rf</w:t>
            </w:r>
          </w:p>
        </w:tc>
      </w:tr>
      <w:tr w:rsidR="001F27DD" w:rsidRPr="0095004E" w14:paraId="2C2BAC34" w14:textId="77777777" w:rsidTr="006D2DA3">
        <w:trPr>
          <w:trHeight w:val="320"/>
        </w:trPr>
        <w:tc>
          <w:tcPr>
            <w:tcW w:w="2580" w:type="dxa"/>
            <w:tcBorders>
              <w:top w:val="nil"/>
              <w:left w:val="nil"/>
              <w:bottom w:val="nil"/>
              <w:right w:val="nil"/>
            </w:tcBorders>
            <w:shd w:val="clear" w:color="auto" w:fill="auto"/>
            <w:noWrap/>
            <w:vAlign w:val="bottom"/>
            <w:hideMark/>
          </w:tcPr>
          <w:p w14:paraId="0DFE1CF0" w14:textId="77777777" w:rsidR="001F27DD" w:rsidRPr="0095004E" w:rsidRDefault="001F27DD" w:rsidP="006D2DA3">
            <w:pPr>
              <w:rPr>
                <w:color w:val="000000"/>
                <w:sz w:val="20"/>
                <w:szCs w:val="20"/>
              </w:rPr>
            </w:pPr>
            <w:r w:rsidRPr="0095004E">
              <w:rPr>
                <w:color w:val="000000"/>
                <w:sz w:val="20"/>
                <w:szCs w:val="20"/>
              </w:rPr>
              <w:t>Mean</w:t>
            </w:r>
          </w:p>
        </w:tc>
        <w:tc>
          <w:tcPr>
            <w:tcW w:w="1580" w:type="dxa"/>
            <w:tcBorders>
              <w:top w:val="nil"/>
              <w:left w:val="nil"/>
              <w:bottom w:val="nil"/>
              <w:right w:val="nil"/>
            </w:tcBorders>
            <w:shd w:val="clear" w:color="auto" w:fill="auto"/>
            <w:noWrap/>
            <w:vAlign w:val="bottom"/>
            <w:hideMark/>
          </w:tcPr>
          <w:p w14:paraId="68A8D3F7" w14:textId="77777777" w:rsidR="001F27DD" w:rsidRPr="0095004E" w:rsidRDefault="001F27DD" w:rsidP="006D2DA3">
            <w:pPr>
              <w:jc w:val="right"/>
              <w:rPr>
                <w:color w:val="000000"/>
                <w:sz w:val="20"/>
                <w:szCs w:val="20"/>
              </w:rPr>
            </w:pPr>
            <w:r w:rsidRPr="0095004E">
              <w:rPr>
                <w:color w:val="000000"/>
                <w:sz w:val="20"/>
                <w:szCs w:val="20"/>
              </w:rPr>
              <w:t>1.498020833</w:t>
            </w:r>
          </w:p>
        </w:tc>
        <w:tc>
          <w:tcPr>
            <w:tcW w:w="1540" w:type="dxa"/>
            <w:tcBorders>
              <w:top w:val="nil"/>
              <w:left w:val="nil"/>
              <w:bottom w:val="nil"/>
              <w:right w:val="nil"/>
            </w:tcBorders>
            <w:shd w:val="clear" w:color="auto" w:fill="auto"/>
            <w:noWrap/>
            <w:vAlign w:val="bottom"/>
            <w:hideMark/>
          </w:tcPr>
          <w:p w14:paraId="2FD88E16" w14:textId="77777777" w:rsidR="001F27DD" w:rsidRPr="0095004E" w:rsidRDefault="001F27DD" w:rsidP="006D2DA3">
            <w:pPr>
              <w:jc w:val="right"/>
              <w:rPr>
                <w:color w:val="000000"/>
                <w:sz w:val="20"/>
                <w:szCs w:val="20"/>
              </w:rPr>
            </w:pPr>
            <w:r w:rsidRPr="0095004E">
              <w:rPr>
                <w:color w:val="000000"/>
                <w:sz w:val="20"/>
                <w:szCs w:val="20"/>
              </w:rPr>
              <w:t>0.4775</w:t>
            </w:r>
          </w:p>
        </w:tc>
        <w:tc>
          <w:tcPr>
            <w:tcW w:w="1300" w:type="dxa"/>
            <w:tcBorders>
              <w:top w:val="nil"/>
              <w:left w:val="nil"/>
              <w:bottom w:val="nil"/>
              <w:right w:val="nil"/>
            </w:tcBorders>
            <w:shd w:val="clear" w:color="auto" w:fill="auto"/>
            <w:noWrap/>
            <w:vAlign w:val="bottom"/>
            <w:hideMark/>
          </w:tcPr>
          <w:p w14:paraId="21CFB64A" w14:textId="77777777" w:rsidR="001F27DD" w:rsidRPr="0095004E" w:rsidRDefault="001F27DD" w:rsidP="006D2DA3">
            <w:pPr>
              <w:jc w:val="right"/>
              <w:rPr>
                <w:color w:val="000000"/>
                <w:sz w:val="20"/>
                <w:szCs w:val="20"/>
              </w:rPr>
            </w:pPr>
            <w:r w:rsidRPr="0095004E">
              <w:rPr>
                <w:color w:val="000000"/>
                <w:sz w:val="20"/>
                <w:szCs w:val="20"/>
              </w:rPr>
              <w:t>0.0478125</w:t>
            </w:r>
          </w:p>
        </w:tc>
        <w:tc>
          <w:tcPr>
            <w:tcW w:w="1540" w:type="dxa"/>
            <w:tcBorders>
              <w:top w:val="nil"/>
              <w:left w:val="nil"/>
              <w:bottom w:val="nil"/>
              <w:right w:val="nil"/>
            </w:tcBorders>
            <w:shd w:val="clear" w:color="auto" w:fill="auto"/>
            <w:noWrap/>
            <w:vAlign w:val="bottom"/>
            <w:hideMark/>
          </w:tcPr>
          <w:p w14:paraId="3890F59F" w14:textId="77777777" w:rsidR="001F27DD" w:rsidRPr="0095004E" w:rsidRDefault="001F27DD" w:rsidP="006D2DA3">
            <w:pPr>
              <w:jc w:val="right"/>
              <w:rPr>
                <w:color w:val="000000"/>
                <w:sz w:val="20"/>
                <w:szCs w:val="20"/>
              </w:rPr>
            </w:pPr>
            <w:r w:rsidRPr="0095004E">
              <w:rPr>
                <w:color w:val="000000"/>
                <w:sz w:val="20"/>
                <w:szCs w:val="20"/>
              </w:rPr>
              <w:t>1.421354167</w:t>
            </w:r>
          </w:p>
        </w:tc>
      </w:tr>
      <w:tr w:rsidR="001F27DD" w:rsidRPr="0095004E" w14:paraId="055E307F" w14:textId="77777777" w:rsidTr="006D2DA3">
        <w:trPr>
          <w:trHeight w:val="320"/>
        </w:trPr>
        <w:tc>
          <w:tcPr>
            <w:tcW w:w="2580" w:type="dxa"/>
            <w:tcBorders>
              <w:top w:val="nil"/>
              <w:left w:val="nil"/>
              <w:bottom w:val="nil"/>
              <w:right w:val="nil"/>
            </w:tcBorders>
            <w:shd w:val="clear" w:color="auto" w:fill="auto"/>
            <w:noWrap/>
            <w:vAlign w:val="bottom"/>
            <w:hideMark/>
          </w:tcPr>
          <w:p w14:paraId="227A1FC2" w14:textId="77777777" w:rsidR="001F27DD" w:rsidRPr="0095004E" w:rsidRDefault="001F27DD" w:rsidP="006D2DA3">
            <w:pPr>
              <w:rPr>
                <w:color w:val="000000"/>
                <w:sz w:val="20"/>
                <w:szCs w:val="20"/>
              </w:rPr>
            </w:pPr>
            <w:r w:rsidRPr="0095004E">
              <w:rPr>
                <w:color w:val="000000"/>
                <w:sz w:val="20"/>
                <w:szCs w:val="20"/>
              </w:rPr>
              <w:t>Standard Error</w:t>
            </w:r>
          </w:p>
        </w:tc>
        <w:tc>
          <w:tcPr>
            <w:tcW w:w="1580" w:type="dxa"/>
            <w:tcBorders>
              <w:top w:val="nil"/>
              <w:left w:val="nil"/>
              <w:bottom w:val="nil"/>
              <w:right w:val="nil"/>
            </w:tcBorders>
            <w:shd w:val="clear" w:color="auto" w:fill="auto"/>
            <w:noWrap/>
            <w:vAlign w:val="bottom"/>
            <w:hideMark/>
          </w:tcPr>
          <w:p w14:paraId="42211949" w14:textId="77777777" w:rsidR="001F27DD" w:rsidRPr="0095004E" w:rsidRDefault="001F27DD" w:rsidP="006D2DA3">
            <w:pPr>
              <w:jc w:val="right"/>
              <w:rPr>
                <w:color w:val="000000"/>
                <w:sz w:val="20"/>
                <w:szCs w:val="20"/>
              </w:rPr>
            </w:pPr>
            <w:r w:rsidRPr="0095004E">
              <w:rPr>
                <w:color w:val="000000"/>
                <w:sz w:val="20"/>
                <w:szCs w:val="20"/>
              </w:rPr>
              <w:t>0.797386997</w:t>
            </w:r>
          </w:p>
        </w:tc>
        <w:tc>
          <w:tcPr>
            <w:tcW w:w="1540" w:type="dxa"/>
            <w:tcBorders>
              <w:top w:val="nil"/>
              <w:left w:val="nil"/>
              <w:bottom w:val="nil"/>
              <w:right w:val="nil"/>
            </w:tcBorders>
            <w:shd w:val="clear" w:color="auto" w:fill="auto"/>
            <w:noWrap/>
            <w:vAlign w:val="bottom"/>
            <w:hideMark/>
          </w:tcPr>
          <w:p w14:paraId="0AD3EE1F" w14:textId="77777777" w:rsidR="001F27DD" w:rsidRPr="0095004E" w:rsidRDefault="001F27DD" w:rsidP="006D2DA3">
            <w:pPr>
              <w:jc w:val="right"/>
              <w:rPr>
                <w:color w:val="000000"/>
                <w:sz w:val="20"/>
                <w:szCs w:val="20"/>
              </w:rPr>
            </w:pPr>
            <w:r w:rsidRPr="0095004E">
              <w:rPr>
                <w:color w:val="000000"/>
                <w:sz w:val="20"/>
                <w:szCs w:val="20"/>
              </w:rPr>
              <w:t>0.318823014</w:t>
            </w:r>
          </w:p>
        </w:tc>
        <w:tc>
          <w:tcPr>
            <w:tcW w:w="1300" w:type="dxa"/>
            <w:tcBorders>
              <w:top w:val="nil"/>
              <w:left w:val="nil"/>
              <w:bottom w:val="nil"/>
              <w:right w:val="nil"/>
            </w:tcBorders>
            <w:shd w:val="clear" w:color="auto" w:fill="auto"/>
            <w:noWrap/>
            <w:vAlign w:val="bottom"/>
            <w:hideMark/>
          </w:tcPr>
          <w:p w14:paraId="7F62E49D" w14:textId="77777777" w:rsidR="001F27DD" w:rsidRPr="0095004E" w:rsidRDefault="001F27DD" w:rsidP="006D2DA3">
            <w:pPr>
              <w:jc w:val="right"/>
              <w:rPr>
                <w:color w:val="000000"/>
                <w:sz w:val="20"/>
                <w:szCs w:val="20"/>
              </w:rPr>
            </w:pPr>
            <w:r w:rsidRPr="0095004E">
              <w:rPr>
                <w:color w:val="000000"/>
                <w:sz w:val="20"/>
                <w:szCs w:val="20"/>
              </w:rPr>
              <w:t>0.5864396</w:t>
            </w:r>
          </w:p>
        </w:tc>
        <w:tc>
          <w:tcPr>
            <w:tcW w:w="1540" w:type="dxa"/>
            <w:tcBorders>
              <w:top w:val="nil"/>
              <w:left w:val="nil"/>
              <w:bottom w:val="nil"/>
              <w:right w:val="nil"/>
            </w:tcBorders>
            <w:shd w:val="clear" w:color="auto" w:fill="auto"/>
            <w:noWrap/>
            <w:vAlign w:val="bottom"/>
            <w:hideMark/>
          </w:tcPr>
          <w:p w14:paraId="0FE95492" w14:textId="77777777" w:rsidR="001F27DD" w:rsidRPr="0095004E" w:rsidRDefault="001F27DD" w:rsidP="006D2DA3">
            <w:pPr>
              <w:jc w:val="right"/>
              <w:rPr>
                <w:color w:val="000000"/>
                <w:sz w:val="20"/>
                <w:szCs w:val="20"/>
              </w:rPr>
            </w:pPr>
            <w:r w:rsidRPr="0095004E">
              <w:rPr>
                <w:color w:val="000000"/>
                <w:sz w:val="20"/>
                <w:szCs w:val="20"/>
              </w:rPr>
              <w:t>0.796335516</w:t>
            </w:r>
          </w:p>
        </w:tc>
      </w:tr>
      <w:tr w:rsidR="001F27DD" w:rsidRPr="0095004E" w14:paraId="6C75BE6E" w14:textId="77777777" w:rsidTr="006D2DA3">
        <w:trPr>
          <w:trHeight w:val="320"/>
        </w:trPr>
        <w:tc>
          <w:tcPr>
            <w:tcW w:w="2580" w:type="dxa"/>
            <w:tcBorders>
              <w:top w:val="nil"/>
              <w:left w:val="nil"/>
              <w:bottom w:val="nil"/>
              <w:right w:val="nil"/>
            </w:tcBorders>
            <w:shd w:val="clear" w:color="auto" w:fill="auto"/>
            <w:noWrap/>
            <w:vAlign w:val="bottom"/>
            <w:hideMark/>
          </w:tcPr>
          <w:p w14:paraId="0977283F" w14:textId="77777777" w:rsidR="001F27DD" w:rsidRPr="0095004E" w:rsidRDefault="001F27DD" w:rsidP="006D2DA3">
            <w:pPr>
              <w:rPr>
                <w:color w:val="000000"/>
                <w:sz w:val="20"/>
                <w:szCs w:val="20"/>
              </w:rPr>
            </w:pPr>
            <w:r w:rsidRPr="0095004E">
              <w:rPr>
                <w:color w:val="000000"/>
                <w:sz w:val="20"/>
                <w:szCs w:val="20"/>
              </w:rPr>
              <w:t>Median</w:t>
            </w:r>
          </w:p>
        </w:tc>
        <w:tc>
          <w:tcPr>
            <w:tcW w:w="1580" w:type="dxa"/>
            <w:tcBorders>
              <w:top w:val="nil"/>
              <w:left w:val="nil"/>
              <w:bottom w:val="nil"/>
              <w:right w:val="nil"/>
            </w:tcBorders>
            <w:shd w:val="clear" w:color="auto" w:fill="auto"/>
            <w:noWrap/>
            <w:vAlign w:val="bottom"/>
            <w:hideMark/>
          </w:tcPr>
          <w:p w14:paraId="3B4F9D87" w14:textId="77777777" w:rsidR="001F27DD" w:rsidRPr="0095004E" w:rsidRDefault="001F27DD" w:rsidP="006D2DA3">
            <w:pPr>
              <w:jc w:val="right"/>
              <w:rPr>
                <w:color w:val="000000"/>
                <w:sz w:val="20"/>
                <w:szCs w:val="20"/>
              </w:rPr>
            </w:pPr>
            <w:r w:rsidRPr="0095004E">
              <w:rPr>
                <w:color w:val="000000"/>
                <w:sz w:val="20"/>
                <w:szCs w:val="20"/>
              </w:rPr>
              <w:t>2.2</w:t>
            </w:r>
          </w:p>
        </w:tc>
        <w:tc>
          <w:tcPr>
            <w:tcW w:w="1540" w:type="dxa"/>
            <w:tcBorders>
              <w:top w:val="nil"/>
              <w:left w:val="nil"/>
              <w:bottom w:val="nil"/>
              <w:right w:val="nil"/>
            </w:tcBorders>
            <w:shd w:val="clear" w:color="auto" w:fill="auto"/>
            <w:noWrap/>
            <w:vAlign w:val="bottom"/>
            <w:hideMark/>
          </w:tcPr>
          <w:p w14:paraId="785B170F" w14:textId="77777777" w:rsidR="001F27DD" w:rsidRPr="0095004E" w:rsidRDefault="001F27DD" w:rsidP="006D2DA3">
            <w:pPr>
              <w:jc w:val="right"/>
              <w:rPr>
                <w:color w:val="000000"/>
                <w:sz w:val="20"/>
                <w:szCs w:val="20"/>
              </w:rPr>
            </w:pPr>
            <w:r w:rsidRPr="0095004E">
              <w:rPr>
                <w:color w:val="000000"/>
                <w:sz w:val="20"/>
                <w:szCs w:val="20"/>
              </w:rPr>
              <w:t>0.705</w:t>
            </w:r>
          </w:p>
        </w:tc>
        <w:tc>
          <w:tcPr>
            <w:tcW w:w="1300" w:type="dxa"/>
            <w:tcBorders>
              <w:top w:val="nil"/>
              <w:left w:val="nil"/>
              <w:bottom w:val="nil"/>
              <w:right w:val="nil"/>
            </w:tcBorders>
            <w:shd w:val="clear" w:color="auto" w:fill="auto"/>
            <w:noWrap/>
            <w:vAlign w:val="bottom"/>
            <w:hideMark/>
          </w:tcPr>
          <w:p w14:paraId="5990A48A" w14:textId="77777777" w:rsidR="001F27DD" w:rsidRPr="0095004E" w:rsidRDefault="001F27DD" w:rsidP="006D2DA3">
            <w:pPr>
              <w:jc w:val="right"/>
              <w:rPr>
                <w:color w:val="000000"/>
                <w:sz w:val="20"/>
                <w:szCs w:val="20"/>
              </w:rPr>
            </w:pPr>
            <w:r w:rsidRPr="0095004E">
              <w:rPr>
                <w:color w:val="000000"/>
                <w:sz w:val="20"/>
                <w:szCs w:val="20"/>
              </w:rPr>
              <w:t>-0.585</w:t>
            </w:r>
          </w:p>
        </w:tc>
        <w:tc>
          <w:tcPr>
            <w:tcW w:w="1540" w:type="dxa"/>
            <w:tcBorders>
              <w:top w:val="nil"/>
              <w:left w:val="nil"/>
              <w:bottom w:val="nil"/>
              <w:right w:val="nil"/>
            </w:tcBorders>
            <w:shd w:val="clear" w:color="auto" w:fill="auto"/>
            <w:noWrap/>
            <w:vAlign w:val="bottom"/>
            <w:hideMark/>
          </w:tcPr>
          <w:p w14:paraId="1D053959" w14:textId="77777777" w:rsidR="001F27DD" w:rsidRPr="0095004E" w:rsidRDefault="001F27DD" w:rsidP="006D2DA3">
            <w:pPr>
              <w:jc w:val="right"/>
              <w:rPr>
                <w:color w:val="000000"/>
                <w:sz w:val="20"/>
                <w:szCs w:val="20"/>
              </w:rPr>
            </w:pPr>
            <w:r w:rsidRPr="0095004E">
              <w:rPr>
                <w:color w:val="000000"/>
                <w:sz w:val="20"/>
                <w:szCs w:val="20"/>
              </w:rPr>
              <w:t>2.09</w:t>
            </w:r>
          </w:p>
        </w:tc>
      </w:tr>
      <w:tr w:rsidR="001F27DD" w:rsidRPr="0095004E" w14:paraId="266B4144" w14:textId="77777777" w:rsidTr="006D2DA3">
        <w:trPr>
          <w:trHeight w:val="320"/>
        </w:trPr>
        <w:tc>
          <w:tcPr>
            <w:tcW w:w="2580" w:type="dxa"/>
            <w:tcBorders>
              <w:top w:val="nil"/>
              <w:left w:val="nil"/>
              <w:bottom w:val="nil"/>
              <w:right w:val="nil"/>
            </w:tcBorders>
            <w:shd w:val="clear" w:color="auto" w:fill="auto"/>
            <w:noWrap/>
            <w:vAlign w:val="bottom"/>
            <w:hideMark/>
          </w:tcPr>
          <w:p w14:paraId="7C177D84" w14:textId="77777777" w:rsidR="001F27DD" w:rsidRPr="0095004E" w:rsidRDefault="001F27DD" w:rsidP="006D2DA3">
            <w:pPr>
              <w:rPr>
                <w:color w:val="000000"/>
                <w:sz w:val="20"/>
                <w:szCs w:val="20"/>
              </w:rPr>
            </w:pPr>
            <w:r w:rsidRPr="0095004E">
              <w:rPr>
                <w:color w:val="000000"/>
                <w:sz w:val="20"/>
                <w:szCs w:val="20"/>
              </w:rPr>
              <w:t>Mode</w:t>
            </w:r>
          </w:p>
        </w:tc>
        <w:tc>
          <w:tcPr>
            <w:tcW w:w="1580" w:type="dxa"/>
            <w:tcBorders>
              <w:top w:val="nil"/>
              <w:left w:val="nil"/>
              <w:bottom w:val="nil"/>
              <w:right w:val="nil"/>
            </w:tcBorders>
            <w:shd w:val="clear" w:color="auto" w:fill="auto"/>
            <w:noWrap/>
            <w:vAlign w:val="bottom"/>
            <w:hideMark/>
          </w:tcPr>
          <w:p w14:paraId="2C371F06" w14:textId="77777777" w:rsidR="001F27DD" w:rsidRPr="0095004E" w:rsidRDefault="001F27DD" w:rsidP="006D2DA3">
            <w:pPr>
              <w:jc w:val="right"/>
              <w:rPr>
                <w:color w:val="000000"/>
                <w:sz w:val="20"/>
                <w:szCs w:val="20"/>
              </w:rPr>
            </w:pPr>
            <w:r w:rsidRPr="0095004E">
              <w:rPr>
                <w:color w:val="000000"/>
                <w:sz w:val="20"/>
                <w:szCs w:val="20"/>
              </w:rPr>
              <w:t>3.36</w:t>
            </w:r>
          </w:p>
        </w:tc>
        <w:tc>
          <w:tcPr>
            <w:tcW w:w="1540" w:type="dxa"/>
            <w:tcBorders>
              <w:top w:val="nil"/>
              <w:left w:val="nil"/>
              <w:bottom w:val="nil"/>
              <w:right w:val="nil"/>
            </w:tcBorders>
            <w:shd w:val="clear" w:color="auto" w:fill="auto"/>
            <w:noWrap/>
            <w:vAlign w:val="bottom"/>
            <w:hideMark/>
          </w:tcPr>
          <w:p w14:paraId="59ADFC93" w14:textId="77777777" w:rsidR="001F27DD" w:rsidRPr="0095004E" w:rsidRDefault="001F27DD" w:rsidP="006D2DA3">
            <w:pPr>
              <w:jc w:val="right"/>
              <w:rPr>
                <w:color w:val="000000"/>
                <w:sz w:val="20"/>
                <w:szCs w:val="20"/>
              </w:rPr>
            </w:pPr>
            <w:r w:rsidRPr="0095004E">
              <w:rPr>
                <w:color w:val="000000"/>
                <w:sz w:val="20"/>
                <w:szCs w:val="20"/>
              </w:rPr>
              <w:t>1.21</w:t>
            </w:r>
          </w:p>
        </w:tc>
        <w:tc>
          <w:tcPr>
            <w:tcW w:w="1300" w:type="dxa"/>
            <w:tcBorders>
              <w:top w:val="nil"/>
              <w:left w:val="nil"/>
              <w:bottom w:val="nil"/>
              <w:right w:val="nil"/>
            </w:tcBorders>
            <w:shd w:val="clear" w:color="auto" w:fill="auto"/>
            <w:noWrap/>
            <w:vAlign w:val="bottom"/>
            <w:hideMark/>
          </w:tcPr>
          <w:p w14:paraId="02BF739D" w14:textId="77777777" w:rsidR="001F27DD" w:rsidRPr="0095004E" w:rsidRDefault="001F27DD" w:rsidP="006D2DA3">
            <w:pPr>
              <w:jc w:val="right"/>
              <w:rPr>
                <w:color w:val="000000"/>
                <w:sz w:val="20"/>
                <w:szCs w:val="20"/>
              </w:rPr>
            </w:pPr>
            <w:r w:rsidRPr="0095004E">
              <w:rPr>
                <w:color w:val="000000"/>
                <w:sz w:val="20"/>
                <w:szCs w:val="20"/>
              </w:rPr>
              <w:t>-2.06</w:t>
            </w:r>
          </w:p>
        </w:tc>
        <w:tc>
          <w:tcPr>
            <w:tcW w:w="1540" w:type="dxa"/>
            <w:tcBorders>
              <w:top w:val="nil"/>
              <w:left w:val="nil"/>
              <w:bottom w:val="nil"/>
              <w:right w:val="nil"/>
            </w:tcBorders>
            <w:shd w:val="clear" w:color="auto" w:fill="auto"/>
            <w:noWrap/>
            <w:vAlign w:val="bottom"/>
            <w:hideMark/>
          </w:tcPr>
          <w:p w14:paraId="05C30A35" w14:textId="77777777" w:rsidR="001F27DD" w:rsidRPr="0095004E" w:rsidRDefault="001F27DD" w:rsidP="006D2DA3">
            <w:pPr>
              <w:jc w:val="right"/>
              <w:rPr>
                <w:color w:val="000000"/>
                <w:sz w:val="20"/>
                <w:szCs w:val="20"/>
              </w:rPr>
            </w:pPr>
            <w:r w:rsidRPr="0095004E">
              <w:rPr>
                <w:color w:val="000000"/>
                <w:sz w:val="20"/>
                <w:szCs w:val="20"/>
              </w:rPr>
              <w:t>-1.87</w:t>
            </w:r>
          </w:p>
        </w:tc>
      </w:tr>
      <w:tr w:rsidR="001F27DD" w:rsidRPr="0095004E" w14:paraId="0C10CC2C" w14:textId="77777777" w:rsidTr="006D2DA3">
        <w:trPr>
          <w:trHeight w:val="320"/>
        </w:trPr>
        <w:tc>
          <w:tcPr>
            <w:tcW w:w="2580" w:type="dxa"/>
            <w:tcBorders>
              <w:top w:val="nil"/>
              <w:left w:val="nil"/>
              <w:bottom w:val="nil"/>
              <w:right w:val="nil"/>
            </w:tcBorders>
            <w:shd w:val="clear" w:color="auto" w:fill="auto"/>
            <w:noWrap/>
            <w:vAlign w:val="bottom"/>
            <w:hideMark/>
          </w:tcPr>
          <w:p w14:paraId="7BB38609" w14:textId="77777777" w:rsidR="001F27DD" w:rsidRPr="0095004E" w:rsidRDefault="001F27DD" w:rsidP="006D2DA3">
            <w:pPr>
              <w:rPr>
                <w:color w:val="000000"/>
                <w:sz w:val="20"/>
                <w:szCs w:val="20"/>
              </w:rPr>
            </w:pPr>
            <w:r w:rsidRPr="0095004E">
              <w:rPr>
                <w:color w:val="000000"/>
                <w:sz w:val="20"/>
                <w:szCs w:val="20"/>
              </w:rPr>
              <w:t>Standard Deviation</w:t>
            </w:r>
          </w:p>
        </w:tc>
        <w:tc>
          <w:tcPr>
            <w:tcW w:w="1580" w:type="dxa"/>
            <w:tcBorders>
              <w:top w:val="nil"/>
              <w:left w:val="nil"/>
              <w:bottom w:val="nil"/>
              <w:right w:val="nil"/>
            </w:tcBorders>
            <w:shd w:val="clear" w:color="auto" w:fill="auto"/>
            <w:noWrap/>
            <w:vAlign w:val="bottom"/>
            <w:hideMark/>
          </w:tcPr>
          <w:p w14:paraId="312A0F01" w14:textId="77777777" w:rsidR="001F27DD" w:rsidRPr="0095004E" w:rsidRDefault="001F27DD" w:rsidP="006D2DA3">
            <w:pPr>
              <w:jc w:val="right"/>
              <w:rPr>
                <w:color w:val="000000"/>
                <w:sz w:val="20"/>
                <w:szCs w:val="20"/>
              </w:rPr>
            </w:pPr>
            <w:r w:rsidRPr="0095004E">
              <w:rPr>
                <w:color w:val="000000"/>
                <w:sz w:val="20"/>
                <w:szCs w:val="20"/>
              </w:rPr>
              <w:t>7.812765077</w:t>
            </w:r>
          </w:p>
        </w:tc>
        <w:tc>
          <w:tcPr>
            <w:tcW w:w="1540" w:type="dxa"/>
            <w:tcBorders>
              <w:top w:val="nil"/>
              <w:left w:val="nil"/>
              <w:bottom w:val="nil"/>
              <w:right w:val="nil"/>
            </w:tcBorders>
            <w:shd w:val="clear" w:color="auto" w:fill="auto"/>
            <w:noWrap/>
            <w:vAlign w:val="bottom"/>
            <w:hideMark/>
          </w:tcPr>
          <w:p w14:paraId="358E61AC" w14:textId="77777777" w:rsidR="001F27DD" w:rsidRPr="0095004E" w:rsidRDefault="001F27DD" w:rsidP="006D2DA3">
            <w:pPr>
              <w:jc w:val="right"/>
              <w:rPr>
                <w:color w:val="000000"/>
                <w:sz w:val="20"/>
                <w:szCs w:val="20"/>
              </w:rPr>
            </w:pPr>
            <w:r w:rsidRPr="0095004E">
              <w:rPr>
                <w:color w:val="000000"/>
                <w:sz w:val="20"/>
                <w:szCs w:val="20"/>
              </w:rPr>
              <w:t>3.123814807</w:t>
            </w:r>
          </w:p>
        </w:tc>
        <w:tc>
          <w:tcPr>
            <w:tcW w:w="1300" w:type="dxa"/>
            <w:tcBorders>
              <w:top w:val="nil"/>
              <w:left w:val="nil"/>
              <w:bottom w:val="nil"/>
              <w:right w:val="nil"/>
            </w:tcBorders>
            <w:shd w:val="clear" w:color="auto" w:fill="auto"/>
            <w:noWrap/>
            <w:vAlign w:val="bottom"/>
            <w:hideMark/>
          </w:tcPr>
          <w:p w14:paraId="3245C1D3" w14:textId="77777777" w:rsidR="001F27DD" w:rsidRPr="0095004E" w:rsidRDefault="001F27DD" w:rsidP="006D2DA3">
            <w:pPr>
              <w:jc w:val="right"/>
              <w:rPr>
                <w:color w:val="000000"/>
                <w:sz w:val="20"/>
                <w:szCs w:val="20"/>
              </w:rPr>
            </w:pPr>
            <w:r w:rsidRPr="0095004E">
              <w:rPr>
                <w:color w:val="000000"/>
                <w:sz w:val="20"/>
                <w:szCs w:val="20"/>
              </w:rPr>
              <w:t>5.74591117</w:t>
            </w:r>
          </w:p>
        </w:tc>
        <w:tc>
          <w:tcPr>
            <w:tcW w:w="1540" w:type="dxa"/>
            <w:tcBorders>
              <w:top w:val="nil"/>
              <w:left w:val="nil"/>
              <w:bottom w:val="nil"/>
              <w:right w:val="nil"/>
            </w:tcBorders>
            <w:shd w:val="clear" w:color="auto" w:fill="auto"/>
            <w:noWrap/>
            <w:vAlign w:val="bottom"/>
            <w:hideMark/>
          </w:tcPr>
          <w:p w14:paraId="39299A4A" w14:textId="77777777" w:rsidR="001F27DD" w:rsidRPr="0095004E" w:rsidRDefault="001F27DD" w:rsidP="006D2DA3">
            <w:pPr>
              <w:jc w:val="right"/>
              <w:rPr>
                <w:color w:val="000000"/>
                <w:sz w:val="20"/>
                <w:szCs w:val="20"/>
              </w:rPr>
            </w:pPr>
            <w:r w:rsidRPr="0095004E">
              <w:rPr>
                <w:color w:val="000000"/>
                <w:sz w:val="20"/>
                <w:szCs w:val="20"/>
              </w:rPr>
              <w:t>7.802462718</w:t>
            </w:r>
          </w:p>
        </w:tc>
      </w:tr>
      <w:tr w:rsidR="001F27DD" w:rsidRPr="0095004E" w14:paraId="106C4D91" w14:textId="77777777" w:rsidTr="006D2DA3">
        <w:trPr>
          <w:trHeight w:val="320"/>
        </w:trPr>
        <w:tc>
          <w:tcPr>
            <w:tcW w:w="2580" w:type="dxa"/>
            <w:tcBorders>
              <w:top w:val="nil"/>
              <w:left w:val="nil"/>
              <w:bottom w:val="nil"/>
              <w:right w:val="nil"/>
            </w:tcBorders>
            <w:shd w:val="clear" w:color="auto" w:fill="auto"/>
            <w:noWrap/>
            <w:vAlign w:val="bottom"/>
            <w:hideMark/>
          </w:tcPr>
          <w:p w14:paraId="7B756BCD" w14:textId="77777777" w:rsidR="001F27DD" w:rsidRPr="0095004E" w:rsidRDefault="001F27DD" w:rsidP="006D2DA3">
            <w:pPr>
              <w:rPr>
                <w:color w:val="000000"/>
                <w:sz w:val="20"/>
                <w:szCs w:val="20"/>
              </w:rPr>
            </w:pPr>
            <w:r w:rsidRPr="0095004E">
              <w:rPr>
                <w:color w:val="000000"/>
                <w:sz w:val="20"/>
                <w:szCs w:val="20"/>
              </w:rPr>
              <w:t>Sample Variance</w:t>
            </w:r>
          </w:p>
        </w:tc>
        <w:tc>
          <w:tcPr>
            <w:tcW w:w="1580" w:type="dxa"/>
            <w:tcBorders>
              <w:top w:val="nil"/>
              <w:left w:val="nil"/>
              <w:bottom w:val="nil"/>
              <w:right w:val="nil"/>
            </w:tcBorders>
            <w:shd w:val="clear" w:color="auto" w:fill="auto"/>
            <w:noWrap/>
            <w:vAlign w:val="bottom"/>
            <w:hideMark/>
          </w:tcPr>
          <w:p w14:paraId="62B5A409" w14:textId="77777777" w:rsidR="001F27DD" w:rsidRPr="0095004E" w:rsidRDefault="001F27DD" w:rsidP="006D2DA3">
            <w:pPr>
              <w:jc w:val="right"/>
              <w:rPr>
                <w:color w:val="000000"/>
                <w:sz w:val="20"/>
                <w:szCs w:val="20"/>
              </w:rPr>
            </w:pPr>
            <w:r w:rsidRPr="0095004E">
              <w:rPr>
                <w:color w:val="000000"/>
                <w:sz w:val="20"/>
                <w:szCs w:val="20"/>
              </w:rPr>
              <w:t>61.03929815</w:t>
            </w:r>
          </w:p>
        </w:tc>
        <w:tc>
          <w:tcPr>
            <w:tcW w:w="1540" w:type="dxa"/>
            <w:tcBorders>
              <w:top w:val="nil"/>
              <w:left w:val="nil"/>
              <w:bottom w:val="nil"/>
              <w:right w:val="nil"/>
            </w:tcBorders>
            <w:shd w:val="clear" w:color="auto" w:fill="auto"/>
            <w:noWrap/>
            <w:vAlign w:val="bottom"/>
            <w:hideMark/>
          </w:tcPr>
          <w:p w14:paraId="6D62E42E" w14:textId="77777777" w:rsidR="001F27DD" w:rsidRPr="0095004E" w:rsidRDefault="001F27DD" w:rsidP="006D2DA3">
            <w:pPr>
              <w:jc w:val="right"/>
              <w:rPr>
                <w:color w:val="000000"/>
                <w:sz w:val="20"/>
                <w:szCs w:val="20"/>
              </w:rPr>
            </w:pPr>
            <w:r w:rsidRPr="0095004E">
              <w:rPr>
                <w:color w:val="000000"/>
                <w:sz w:val="20"/>
                <w:szCs w:val="20"/>
              </w:rPr>
              <w:t>9.758218947</w:t>
            </w:r>
          </w:p>
        </w:tc>
        <w:tc>
          <w:tcPr>
            <w:tcW w:w="1300" w:type="dxa"/>
            <w:tcBorders>
              <w:top w:val="nil"/>
              <w:left w:val="nil"/>
              <w:bottom w:val="nil"/>
              <w:right w:val="nil"/>
            </w:tcBorders>
            <w:shd w:val="clear" w:color="auto" w:fill="auto"/>
            <w:noWrap/>
            <w:vAlign w:val="bottom"/>
            <w:hideMark/>
          </w:tcPr>
          <w:p w14:paraId="05D89CAB" w14:textId="77777777" w:rsidR="001F27DD" w:rsidRPr="0095004E" w:rsidRDefault="001F27DD" w:rsidP="006D2DA3">
            <w:pPr>
              <w:jc w:val="right"/>
              <w:rPr>
                <w:color w:val="000000"/>
                <w:sz w:val="20"/>
                <w:szCs w:val="20"/>
              </w:rPr>
            </w:pPr>
            <w:r w:rsidRPr="0095004E">
              <w:rPr>
                <w:color w:val="000000"/>
                <w:sz w:val="20"/>
                <w:szCs w:val="20"/>
              </w:rPr>
              <w:t>33.0154952</w:t>
            </w:r>
          </w:p>
        </w:tc>
        <w:tc>
          <w:tcPr>
            <w:tcW w:w="1540" w:type="dxa"/>
            <w:tcBorders>
              <w:top w:val="nil"/>
              <w:left w:val="nil"/>
              <w:bottom w:val="nil"/>
              <w:right w:val="nil"/>
            </w:tcBorders>
            <w:shd w:val="clear" w:color="auto" w:fill="auto"/>
            <w:noWrap/>
            <w:vAlign w:val="bottom"/>
            <w:hideMark/>
          </w:tcPr>
          <w:p w14:paraId="61FF0B95" w14:textId="77777777" w:rsidR="001F27DD" w:rsidRPr="0095004E" w:rsidRDefault="001F27DD" w:rsidP="006D2DA3">
            <w:pPr>
              <w:jc w:val="right"/>
              <w:rPr>
                <w:color w:val="000000"/>
                <w:sz w:val="20"/>
                <w:szCs w:val="20"/>
              </w:rPr>
            </w:pPr>
            <w:r w:rsidRPr="0095004E">
              <w:rPr>
                <w:color w:val="000000"/>
                <w:sz w:val="20"/>
                <w:szCs w:val="20"/>
              </w:rPr>
              <w:t>60.87842446</w:t>
            </w:r>
          </w:p>
        </w:tc>
      </w:tr>
      <w:tr w:rsidR="001F27DD" w:rsidRPr="0095004E" w14:paraId="4C0D2F65" w14:textId="77777777" w:rsidTr="006D2DA3">
        <w:trPr>
          <w:trHeight w:val="320"/>
        </w:trPr>
        <w:tc>
          <w:tcPr>
            <w:tcW w:w="2580" w:type="dxa"/>
            <w:tcBorders>
              <w:top w:val="nil"/>
              <w:left w:val="nil"/>
              <w:bottom w:val="nil"/>
              <w:right w:val="nil"/>
            </w:tcBorders>
            <w:shd w:val="clear" w:color="auto" w:fill="auto"/>
            <w:noWrap/>
            <w:vAlign w:val="bottom"/>
            <w:hideMark/>
          </w:tcPr>
          <w:p w14:paraId="25E85F83" w14:textId="77777777" w:rsidR="001F27DD" w:rsidRPr="0095004E" w:rsidRDefault="001F27DD" w:rsidP="006D2DA3">
            <w:pPr>
              <w:rPr>
                <w:color w:val="000000"/>
                <w:sz w:val="20"/>
                <w:szCs w:val="20"/>
              </w:rPr>
            </w:pPr>
            <w:r w:rsidRPr="0095004E">
              <w:rPr>
                <w:color w:val="000000"/>
                <w:sz w:val="20"/>
                <w:szCs w:val="20"/>
              </w:rPr>
              <w:t>Kurtosis</w:t>
            </w:r>
          </w:p>
        </w:tc>
        <w:tc>
          <w:tcPr>
            <w:tcW w:w="1580" w:type="dxa"/>
            <w:tcBorders>
              <w:top w:val="nil"/>
              <w:left w:val="nil"/>
              <w:bottom w:val="nil"/>
              <w:right w:val="nil"/>
            </w:tcBorders>
            <w:shd w:val="clear" w:color="auto" w:fill="auto"/>
            <w:noWrap/>
            <w:vAlign w:val="bottom"/>
            <w:hideMark/>
          </w:tcPr>
          <w:p w14:paraId="5EA4E208" w14:textId="77777777" w:rsidR="001F27DD" w:rsidRPr="0095004E" w:rsidRDefault="001F27DD" w:rsidP="006D2DA3">
            <w:pPr>
              <w:jc w:val="right"/>
              <w:rPr>
                <w:color w:val="000000"/>
                <w:sz w:val="20"/>
                <w:szCs w:val="20"/>
              </w:rPr>
            </w:pPr>
            <w:r w:rsidRPr="0095004E">
              <w:rPr>
                <w:color w:val="000000"/>
                <w:sz w:val="20"/>
                <w:szCs w:val="20"/>
              </w:rPr>
              <w:t>1.561797962</w:t>
            </w:r>
          </w:p>
        </w:tc>
        <w:tc>
          <w:tcPr>
            <w:tcW w:w="1540" w:type="dxa"/>
            <w:tcBorders>
              <w:top w:val="nil"/>
              <w:left w:val="nil"/>
              <w:bottom w:val="nil"/>
              <w:right w:val="nil"/>
            </w:tcBorders>
            <w:shd w:val="clear" w:color="auto" w:fill="auto"/>
            <w:noWrap/>
            <w:vAlign w:val="bottom"/>
            <w:hideMark/>
          </w:tcPr>
          <w:p w14:paraId="768024A5" w14:textId="77777777" w:rsidR="001F27DD" w:rsidRPr="0095004E" w:rsidRDefault="001F27DD" w:rsidP="006D2DA3">
            <w:pPr>
              <w:jc w:val="right"/>
              <w:rPr>
                <w:color w:val="000000"/>
                <w:sz w:val="20"/>
                <w:szCs w:val="20"/>
              </w:rPr>
            </w:pPr>
            <w:r w:rsidRPr="0095004E">
              <w:rPr>
                <w:color w:val="000000"/>
                <w:sz w:val="20"/>
                <w:szCs w:val="20"/>
              </w:rPr>
              <w:t>-0.089201362</w:t>
            </w:r>
          </w:p>
        </w:tc>
        <w:tc>
          <w:tcPr>
            <w:tcW w:w="1300" w:type="dxa"/>
            <w:tcBorders>
              <w:top w:val="nil"/>
              <w:left w:val="nil"/>
              <w:bottom w:val="nil"/>
              <w:right w:val="nil"/>
            </w:tcBorders>
            <w:shd w:val="clear" w:color="auto" w:fill="auto"/>
            <w:noWrap/>
            <w:vAlign w:val="bottom"/>
            <w:hideMark/>
          </w:tcPr>
          <w:p w14:paraId="2D0AC2AE" w14:textId="77777777" w:rsidR="001F27DD" w:rsidRPr="0095004E" w:rsidRDefault="001F27DD" w:rsidP="006D2DA3">
            <w:pPr>
              <w:jc w:val="right"/>
              <w:rPr>
                <w:color w:val="000000"/>
                <w:sz w:val="20"/>
                <w:szCs w:val="20"/>
              </w:rPr>
            </w:pPr>
            <w:r w:rsidRPr="0095004E">
              <w:rPr>
                <w:color w:val="000000"/>
                <w:sz w:val="20"/>
                <w:szCs w:val="20"/>
              </w:rPr>
              <w:t>2.14884088</w:t>
            </w:r>
          </w:p>
        </w:tc>
        <w:tc>
          <w:tcPr>
            <w:tcW w:w="1540" w:type="dxa"/>
            <w:tcBorders>
              <w:top w:val="nil"/>
              <w:left w:val="nil"/>
              <w:bottom w:val="nil"/>
              <w:right w:val="nil"/>
            </w:tcBorders>
            <w:shd w:val="clear" w:color="auto" w:fill="auto"/>
            <w:noWrap/>
            <w:vAlign w:val="bottom"/>
            <w:hideMark/>
          </w:tcPr>
          <w:p w14:paraId="10DB670E" w14:textId="77777777" w:rsidR="001F27DD" w:rsidRPr="0095004E" w:rsidRDefault="001F27DD" w:rsidP="006D2DA3">
            <w:pPr>
              <w:jc w:val="right"/>
              <w:rPr>
                <w:color w:val="000000"/>
                <w:sz w:val="20"/>
                <w:szCs w:val="20"/>
              </w:rPr>
            </w:pPr>
            <w:r w:rsidRPr="0095004E">
              <w:rPr>
                <w:color w:val="000000"/>
                <w:sz w:val="20"/>
                <w:szCs w:val="20"/>
              </w:rPr>
              <w:t>1.577155493</w:t>
            </w:r>
          </w:p>
        </w:tc>
      </w:tr>
      <w:tr w:rsidR="001F27DD" w:rsidRPr="0095004E" w14:paraId="0C3CA48D" w14:textId="77777777" w:rsidTr="006D2DA3">
        <w:trPr>
          <w:trHeight w:val="320"/>
        </w:trPr>
        <w:tc>
          <w:tcPr>
            <w:tcW w:w="2580" w:type="dxa"/>
            <w:tcBorders>
              <w:top w:val="nil"/>
              <w:left w:val="nil"/>
              <w:bottom w:val="nil"/>
              <w:right w:val="nil"/>
            </w:tcBorders>
            <w:shd w:val="clear" w:color="auto" w:fill="auto"/>
            <w:noWrap/>
            <w:vAlign w:val="bottom"/>
            <w:hideMark/>
          </w:tcPr>
          <w:p w14:paraId="30E00F15" w14:textId="77777777" w:rsidR="001F27DD" w:rsidRPr="0095004E" w:rsidRDefault="001F27DD" w:rsidP="006D2DA3">
            <w:pPr>
              <w:rPr>
                <w:color w:val="000000"/>
                <w:sz w:val="20"/>
                <w:szCs w:val="20"/>
              </w:rPr>
            </w:pPr>
            <w:r w:rsidRPr="0095004E">
              <w:rPr>
                <w:color w:val="000000"/>
                <w:sz w:val="20"/>
                <w:szCs w:val="20"/>
              </w:rPr>
              <w:t>Skewness</w:t>
            </w:r>
          </w:p>
        </w:tc>
        <w:tc>
          <w:tcPr>
            <w:tcW w:w="1580" w:type="dxa"/>
            <w:tcBorders>
              <w:top w:val="nil"/>
              <w:left w:val="nil"/>
              <w:bottom w:val="nil"/>
              <w:right w:val="nil"/>
            </w:tcBorders>
            <w:shd w:val="clear" w:color="auto" w:fill="auto"/>
            <w:noWrap/>
            <w:vAlign w:val="bottom"/>
            <w:hideMark/>
          </w:tcPr>
          <w:p w14:paraId="1EAF66DB" w14:textId="77777777" w:rsidR="001F27DD" w:rsidRPr="0095004E" w:rsidRDefault="001F27DD" w:rsidP="006D2DA3">
            <w:pPr>
              <w:jc w:val="right"/>
              <w:rPr>
                <w:color w:val="000000"/>
                <w:sz w:val="20"/>
                <w:szCs w:val="20"/>
              </w:rPr>
            </w:pPr>
            <w:r w:rsidRPr="0095004E">
              <w:rPr>
                <w:color w:val="000000"/>
                <w:sz w:val="20"/>
                <w:szCs w:val="20"/>
              </w:rPr>
              <w:t>-0.557711882</w:t>
            </w:r>
          </w:p>
        </w:tc>
        <w:tc>
          <w:tcPr>
            <w:tcW w:w="1540" w:type="dxa"/>
            <w:tcBorders>
              <w:top w:val="nil"/>
              <w:left w:val="nil"/>
              <w:bottom w:val="nil"/>
              <w:right w:val="nil"/>
            </w:tcBorders>
            <w:shd w:val="clear" w:color="auto" w:fill="auto"/>
            <w:noWrap/>
            <w:vAlign w:val="bottom"/>
            <w:hideMark/>
          </w:tcPr>
          <w:p w14:paraId="4A09AB50" w14:textId="77777777" w:rsidR="001F27DD" w:rsidRPr="0095004E" w:rsidRDefault="001F27DD" w:rsidP="006D2DA3">
            <w:pPr>
              <w:jc w:val="right"/>
              <w:rPr>
                <w:color w:val="000000"/>
                <w:sz w:val="20"/>
                <w:szCs w:val="20"/>
              </w:rPr>
            </w:pPr>
            <w:r w:rsidRPr="0095004E">
              <w:rPr>
                <w:color w:val="000000"/>
                <w:sz w:val="20"/>
                <w:szCs w:val="20"/>
              </w:rPr>
              <w:t>-0.188911675</w:t>
            </w:r>
          </w:p>
        </w:tc>
        <w:tc>
          <w:tcPr>
            <w:tcW w:w="1300" w:type="dxa"/>
            <w:tcBorders>
              <w:top w:val="nil"/>
              <w:left w:val="nil"/>
              <w:bottom w:val="nil"/>
              <w:right w:val="nil"/>
            </w:tcBorders>
            <w:shd w:val="clear" w:color="auto" w:fill="auto"/>
            <w:noWrap/>
            <w:vAlign w:val="bottom"/>
            <w:hideMark/>
          </w:tcPr>
          <w:p w14:paraId="6FFDE80A" w14:textId="77777777" w:rsidR="001F27DD" w:rsidRPr="0095004E" w:rsidRDefault="001F27DD" w:rsidP="006D2DA3">
            <w:pPr>
              <w:jc w:val="right"/>
              <w:rPr>
                <w:color w:val="000000"/>
                <w:sz w:val="20"/>
                <w:szCs w:val="20"/>
              </w:rPr>
            </w:pPr>
            <w:r w:rsidRPr="0095004E">
              <w:rPr>
                <w:color w:val="000000"/>
                <w:sz w:val="20"/>
                <w:szCs w:val="20"/>
              </w:rPr>
              <w:t>0.84334425</w:t>
            </w:r>
          </w:p>
        </w:tc>
        <w:tc>
          <w:tcPr>
            <w:tcW w:w="1540" w:type="dxa"/>
            <w:tcBorders>
              <w:top w:val="nil"/>
              <w:left w:val="nil"/>
              <w:bottom w:val="nil"/>
              <w:right w:val="nil"/>
            </w:tcBorders>
            <w:shd w:val="clear" w:color="auto" w:fill="auto"/>
            <w:noWrap/>
            <w:vAlign w:val="bottom"/>
            <w:hideMark/>
          </w:tcPr>
          <w:p w14:paraId="7ABBA883" w14:textId="77777777" w:rsidR="001F27DD" w:rsidRPr="0095004E" w:rsidRDefault="001F27DD" w:rsidP="006D2DA3">
            <w:pPr>
              <w:jc w:val="right"/>
              <w:rPr>
                <w:color w:val="000000"/>
                <w:sz w:val="20"/>
                <w:szCs w:val="20"/>
              </w:rPr>
            </w:pPr>
            <w:r w:rsidRPr="0095004E">
              <w:rPr>
                <w:color w:val="000000"/>
                <w:sz w:val="20"/>
                <w:szCs w:val="20"/>
              </w:rPr>
              <w:t>-0.554714066</w:t>
            </w:r>
          </w:p>
        </w:tc>
      </w:tr>
      <w:tr w:rsidR="001F27DD" w:rsidRPr="0095004E" w14:paraId="42EB04E8" w14:textId="77777777" w:rsidTr="006D2DA3">
        <w:trPr>
          <w:trHeight w:val="320"/>
        </w:trPr>
        <w:tc>
          <w:tcPr>
            <w:tcW w:w="2580" w:type="dxa"/>
            <w:tcBorders>
              <w:top w:val="nil"/>
              <w:left w:val="nil"/>
              <w:bottom w:val="nil"/>
              <w:right w:val="nil"/>
            </w:tcBorders>
            <w:shd w:val="clear" w:color="auto" w:fill="auto"/>
            <w:noWrap/>
            <w:vAlign w:val="bottom"/>
            <w:hideMark/>
          </w:tcPr>
          <w:p w14:paraId="0D816B8D" w14:textId="77777777" w:rsidR="001F27DD" w:rsidRPr="0095004E" w:rsidRDefault="001F27DD" w:rsidP="006D2DA3">
            <w:pPr>
              <w:rPr>
                <w:color w:val="000000"/>
                <w:sz w:val="20"/>
                <w:szCs w:val="20"/>
              </w:rPr>
            </w:pPr>
            <w:r w:rsidRPr="0095004E">
              <w:rPr>
                <w:color w:val="000000"/>
                <w:sz w:val="20"/>
                <w:szCs w:val="20"/>
              </w:rPr>
              <w:t>Range</w:t>
            </w:r>
          </w:p>
        </w:tc>
        <w:tc>
          <w:tcPr>
            <w:tcW w:w="1580" w:type="dxa"/>
            <w:tcBorders>
              <w:top w:val="nil"/>
              <w:left w:val="nil"/>
              <w:bottom w:val="nil"/>
              <w:right w:val="nil"/>
            </w:tcBorders>
            <w:shd w:val="clear" w:color="auto" w:fill="auto"/>
            <w:noWrap/>
            <w:vAlign w:val="bottom"/>
            <w:hideMark/>
          </w:tcPr>
          <w:p w14:paraId="3907A7C9" w14:textId="77777777" w:rsidR="001F27DD" w:rsidRPr="0095004E" w:rsidRDefault="001F27DD" w:rsidP="006D2DA3">
            <w:pPr>
              <w:jc w:val="right"/>
              <w:rPr>
                <w:color w:val="000000"/>
                <w:sz w:val="20"/>
                <w:szCs w:val="20"/>
              </w:rPr>
            </w:pPr>
            <w:r w:rsidRPr="0095004E">
              <w:rPr>
                <w:color w:val="000000"/>
                <w:sz w:val="20"/>
                <w:szCs w:val="20"/>
              </w:rPr>
              <w:t>46.25</w:t>
            </w:r>
          </w:p>
        </w:tc>
        <w:tc>
          <w:tcPr>
            <w:tcW w:w="1540" w:type="dxa"/>
            <w:tcBorders>
              <w:top w:val="nil"/>
              <w:left w:val="nil"/>
              <w:bottom w:val="nil"/>
              <w:right w:val="nil"/>
            </w:tcBorders>
            <w:shd w:val="clear" w:color="auto" w:fill="auto"/>
            <w:noWrap/>
            <w:vAlign w:val="bottom"/>
            <w:hideMark/>
          </w:tcPr>
          <w:p w14:paraId="75BCA042" w14:textId="77777777" w:rsidR="001F27DD" w:rsidRPr="0095004E" w:rsidRDefault="001F27DD" w:rsidP="006D2DA3">
            <w:pPr>
              <w:jc w:val="right"/>
              <w:rPr>
                <w:color w:val="000000"/>
                <w:sz w:val="20"/>
                <w:szCs w:val="20"/>
              </w:rPr>
            </w:pPr>
            <w:r w:rsidRPr="0095004E">
              <w:rPr>
                <w:color w:val="000000"/>
                <w:sz w:val="20"/>
                <w:szCs w:val="20"/>
              </w:rPr>
              <w:t>15.61</w:t>
            </w:r>
          </w:p>
        </w:tc>
        <w:tc>
          <w:tcPr>
            <w:tcW w:w="1300" w:type="dxa"/>
            <w:tcBorders>
              <w:top w:val="nil"/>
              <w:left w:val="nil"/>
              <w:bottom w:val="nil"/>
              <w:right w:val="nil"/>
            </w:tcBorders>
            <w:shd w:val="clear" w:color="auto" w:fill="auto"/>
            <w:noWrap/>
            <w:vAlign w:val="bottom"/>
            <w:hideMark/>
          </w:tcPr>
          <w:p w14:paraId="605D06CD" w14:textId="77777777" w:rsidR="001F27DD" w:rsidRPr="0095004E" w:rsidRDefault="001F27DD" w:rsidP="006D2DA3">
            <w:pPr>
              <w:jc w:val="right"/>
              <w:rPr>
                <w:color w:val="000000"/>
                <w:sz w:val="20"/>
                <w:szCs w:val="20"/>
              </w:rPr>
            </w:pPr>
            <w:r w:rsidRPr="0095004E">
              <w:rPr>
                <w:color w:val="000000"/>
                <w:sz w:val="20"/>
                <w:szCs w:val="20"/>
              </w:rPr>
              <w:t>32.73</w:t>
            </w:r>
          </w:p>
        </w:tc>
        <w:tc>
          <w:tcPr>
            <w:tcW w:w="1540" w:type="dxa"/>
            <w:tcBorders>
              <w:top w:val="nil"/>
              <w:left w:val="nil"/>
              <w:bottom w:val="nil"/>
              <w:right w:val="nil"/>
            </w:tcBorders>
            <w:shd w:val="clear" w:color="auto" w:fill="auto"/>
            <w:noWrap/>
            <w:vAlign w:val="bottom"/>
            <w:hideMark/>
          </w:tcPr>
          <w:p w14:paraId="6BDAC601" w14:textId="77777777" w:rsidR="001F27DD" w:rsidRPr="0095004E" w:rsidRDefault="001F27DD" w:rsidP="006D2DA3">
            <w:pPr>
              <w:jc w:val="right"/>
              <w:rPr>
                <w:color w:val="000000"/>
                <w:sz w:val="20"/>
                <w:szCs w:val="20"/>
              </w:rPr>
            </w:pPr>
            <w:r w:rsidRPr="0095004E">
              <w:rPr>
                <w:color w:val="000000"/>
                <w:sz w:val="20"/>
                <w:szCs w:val="20"/>
              </w:rPr>
              <w:t>46.3</w:t>
            </w:r>
          </w:p>
        </w:tc>
      </w:tr>
      <w:tr w:rsidR="001F27DD" w:rsidRPr="0095004E" w14:paraId="05AE7FF1" w14:textId="77777777" w:rsidTr="006D2DA3">
        <w:trPr>
          <w:trHeight w:val="320"/>
        </w:trPr>
        <w:tc>
          <w:tcPr>
            <w:tcW w:w="2580" w:type="dxa"/>
            <w:tcBorders>
              <w:top w:val="nil"/>
              <w:left w:val="nil"/>
              <w:bottom w:val="nil"/>
              <w:right w:val="nil"/>
            </w:tcBorders>
            <w:shd w:val="clear" w:color="auto" w:fill="auto"/>
            <w:noWrap/>
            <w:vAlign w:val="bottom"/>
            <w:hideMark/>
          </w:tcPr>
          <w:p w14:paraId="4D280B87" w14:textId="77777777" w:rsidR="001F27DD" w:rsidRPr="0095004E" w:rsidRDefault="001F27DD" w:rsidP="006D2DA3">
            <w:pPr>
              <w:rPr>
                <w:color w:val="000000"/>
                <w:sz w:val="20"/>
                <w:szCs w:val="20"/>
              </w:rPr>
            </w:pPr>
            <w:r w:rsidRPr="0095004E">
              <w:rPr>
                <w:color w:val="000000"/>
                <w:sz w:val="20"/>
                <w:szCs w:val="20"/>
              </w:rPr>
              <w:t>Minimum</w:t>
            </w:r>
          </w:p>
        </w:tc>
        <w:tc>
          <w:tcPr>
            <w:tcW w:w="1580" w:type="dxa"/>
            <w:tcBorders>
              <w:top w:val="nil"/>
              <w:left w:val="nil"/>
              <w:bottom w:val="nil"/>
              <w:right w:val="nil"/>
            </w:tcBorders>
            <w:shd w:val="clear" w:color="auto" w:fill="auto"/>
            <w:noWrap/>
            <w:vAlign w:val="bottom"/>
            <w:hideMark/>
          </w:tcPr>
          <w:p w14:paraId="144F0C51" w14:textId="77777777" w:rsidR="001F27DD" w:rsidRPr="0095004E" w:rsidRDefault="001F27DD" w:rsidP="006D2DA3">
            <w:pPr>
              <w:jc w:val="right"/>
              <w:rPr>
                <w:color w:val="000000"/>
                <w:sz w:val="20"/>
                <w:szCs w:val="20"/>
              </w:rPr>
            </w:pPr>
            <w:r w:rsidRPr="0095004E">
              <w:rPr>
                <w:color w:val="000000"/>
                <w:sz w:val="20"/>
                <w:szCs w:val="20"/>
              </w:rPr>
              <w:t>-24.95</w:t>
            </w:r>
          </w:p>
        </w:tc>
        <w:tc>
          <w:tcPr>
            <w:tcW w:w="1540" w:type="dxa"/>
            <w:tcBorders>
              <w:top w:val="nil"/>
              <w:left w:val="nil"/>
              <w:bottom w:val="nil"/>
              <w:right w:val="nil"/>
            </w:tcBorders>
            <w:shd w:val="clear" w:color="auto" w:fill="auto"/>
            <w:noWrap/>
            <w:vAlign w:val="bottom"/>
            <w:hideMark/>
          </w:tcPr>
          <w:p w14:paraId="379843D6" w14:textId="77777777" w:rsidR="001F27DD" w:rsidRPr="0095004E" w:rsidRDefault="001F27DD" w:rsidP="006D2DA3">
            <w:pPr>
              <w:jc w:val="right"/>
              <w:rPr>
                <w:color w:val="000000"/>
                <w:sz w:val="20"/>
                <w:szCs w:val="20"/>
              </w:rPr>
            </w:pPr>
            <w:r w:rsidRPr="0095004E">
              <w:rPr>
                <w:color w:val="000000"/>
                <w:sz w:val="20"/>
                <w:szCs w:val="20"/>
              </w:rPr>
              <w:t>-7.79</w:t>
            </w:r>
          </w:p>
        </w:tc>
        <w:tc>
          <w:tcPr>
            <w:tcW w:w="1300" w:type="dxa"/>
            <w:tcBorders>
              <w:top w:val="nil"/>
              <w:left w:val="nil"/>
              <w:bottom w:val="nil"/>
              <w:right w:val="nil"/>
            </w:tcBorders>
            <w:shd w:val="clear" w:color="auto" w:fill="auto"/>
            <w:noWrap/>
            <w:vAlign w:val="bottom"/>
            <w:hideMark/>
          </w:tcPr>
          <w:p w14:paraId="676F3C5C" w14:textId="77777777" w:rsidR="001F27DD" w:rsidRPr="0095004E" w:rsidRDefault="001F27DD" w:rsidP="006D2DA3">
            <w:pPr>
              <w:jc w:val="right"/>
              <w:rPr>
                <w:color w:val="000000"/>
                <w:sz w:val="20"/>
                <w:szCs w:val="20"/>
              </w:rPr>
            </w:pPr>
            <w:r w:rsidRPr="0095004E">
              <w:rPr>
                <w:color w:val="000000"/>
                <w:sz w:val="20"/>
                <w:szCs w:val="20"/>
              </w:rPr>
              <w:t>-12.02</w:t>
            </w:r>
          </w:p>
        </w:tc>
        <w:tc>
          <w:tcPr>
            <w:tcW w:w="1540" w:type="dxa"/>
            <w:tcBorders>
              <w:top w:val="nil"/>
              <w:left w:val="nil"/>
              <w:bottom w:val="nil"/>
              <w:right w:val="nil"/>
            </w:tcBorders>
            <w:shd w:val="clear" w:color="auto" w:fill="auto"/>
            <w:noWrap/>
            <w:vAlign w:val="bottom"/>
            <w:hideMark/>
          </w:tcPr>
          <w:p w14:paraId="316B8A89" w14:textId="77777777" w:rsidR="001F27DD" w:rsidRPr="0095004E" w:rsidRDefault="001F27DD" w:rsidP="006D2DA3">
            <w:pPr>
              <w:jc w:val="right"/>
              <w:rPr>
                <w:color w:val="000000"/>
                <w:sz w:val="20"/>
                <w:szCs w:val="20"/>
              </w:rPr>
            </w:pPr>
            <w:r w:rsidRPr="0095004E">
              <w:rPr>
                <w:color w:val="000000"/>
                <w:sz w:val="20"/>
                <w:szCs w:val="20"/>
              </w:rPr>
              <w:t>-25.01</w:t>
            </w:r>
          </w:p>
        </w:tc>
      </w:tr>
      <w:tr w:rsidR="001F27DD" w:rsidRPr="0095004E" w14:paraId="25E59AA8" w14:textId="77777777" w:rsidTr="006D2DA3">
        <w:trPr>
          <w:trHeight w:val="320"/>
        </w:trPr>
        <w:tc>
          <w:tcPr>
            <w:tcW w:w="2580" w:type="dxa"/>
            <w:tcBorders>
              <w:top w:val="nil"/>
              <w:left w:val="nil"/>
              <w:bottom w:val="nil"/>
              <w:right w:val="nil"/>
            </w:tcBorders>
            <w:shd w:val="clear" w:color="auto" w:fill="auto"/>
            <w:noWrap/>
            <w:vAlign w:val="bottom"/>
            <w:hideMark/>
          </w:tcPr>
          <w:p w14:paraId="126EEFAF" w14:textId="77777777" w:rsidR="001F27DD" w:rsidRPr="0095004E" w:rsidRDefault="001F27DD" w:rsidP="006D2DA3">
            <w:pPr>
              <w:rPr>
                <w:color w:val="000000"/>
                <w:sz w:val="20"/>
                <w:szCs w:val="20"/>
              </w:rPr>
            </w:pPr>
            <w:r w:rsidRPr="0095004E">
              <w:rPr>
                <w:color w:val="000000"/>
                <w:sz w:val="20"/>
                <w:szCs w:val="20"/>
              </w:rPr>
              <w:t>Maximum</w:t>
            </w:r>
          </w:p>
        </w:tc>
        <w:tc>
          <w:tcPr>
            <w:tcW w:w="1580" w:type="dxa"/>
            <w:tcBorders>
              <w:top w:val="nil"/>
              <w:left w:val="nil"/>
              <w:bottom w:val="nil"/>
              <w:right w:val="nil"/>
            </w:tcBorders>
            <w:shd w:val="clear" w:color="auto" w:fill="auto"/>
            <w:noWrap/>
            <w:vAlign w:val="bottom"/>
            <w:hideMark/>
          </w:tcPr>
          <w:p w14:paraId="44EDC9B7" w14:textId="77777777" w:rsidR="001F27DD" w:rsidRPr="0095004E" w:rsidRDefault="001F27DD" w:rsidP="006D2DA3">
            <w:pPr>
              <w:jc w:val="right"/>
              <w:rPr>
                <w:color w:val="000000"/>
                <w:sz w:val="20"/>
                <w:szCs w:val="20"/>
              </w:rPr>
            </w:pPr>
            <w:r w:rsidRPr="0095004E">
              <w:rPr>
                <w:color w:val="000000"/>
                <w:sz w:val="20"/>
                <w:szCs w:val="20"/>
              </w:rPr>
              <w:t>21.3</w:t>
            </w:r>
          </w:p>
        </w:tc>
        <w:tc>
          <w:tcPr>
            <w:tcW w:w="1540" w:type="dxa"/>
            <w:tcBorders>
              <w:top w:val="nil"/>
              <w:left w:val="nil"/>
              <w:bottom w:val="nil"/>
              <w:right w:val="nil"/>
            </w:tcBorders>
            <w:shd w:val="clear" w:color="auto" w:fill="auto"/>
            <w:noWrap/>
            <w:vAlign w:val="bottom"/>
            <w:hideMark/>
          </w:tcPr>
          <w:p w14:paraId="716053B5" w14:textId="77777777" w:rsidR="001F27DD" w:rsidRPr="0095004E" w:rsidRDefault="001F27DD" w:rsidP="006D2DA3">
            <w:pPr>
              <w:jc w:val="right"/>
              <w:rPr>
                <w:color w:val="000000"/>
                <w:sz w:val="20"/>
                <w:szCs w:val="20"/>
              </w:rPr>
            </w:pPr>
            <w:r w:rsidRPr="0095004E">
              <w:rPr>
                <w:color w:val="000000"/>
                <w:sz w:val="20"/>
                <w:szCs w:val="20"/>
              </w:rPr>
              <w:t>7.82</w:t>
            </w:r>
          </w:p>
        </w:tc>
        <w:tc>
          <w:tcPr>
            <w:tcW w:w="1300" w:type="dxa"/>
            <w:tcBorders>
              <w:top w:val="nil"/>
              <w:left w:val="nil"/>
              <w:bottom w:val="nil"/>
              <w:right w:val="nil"/>
            </w:tcBorders>
            <w:shd w:val="clear" w:color="auto" w:fill="auto"/>
            <w:noWrap/>
            <w:vAlign w:val="bottom"/>
            <w:hideMark/>
          </w:tcPr>
          <w:p w14:paraId="17784BFB" w14:textId="77777777" w:rsidR="001F27DD" w:rsidRPr="0095004E" w:rsidRDefault="001F27DD" w:rsidP="006D2DA3">
            <w:pPr>
              <w:jc w:val="right"/>
              <w:rPr>
                <w:color w:val="000000"/>
                <w:sz w:val="20"/>
                <w:szCs w:val="20"/>
              </w:rPr>
            </w:pPr>
            <w:r w:rsidRPr="0095004E">
              <w:rPr>
                <w:color w:val="000000"/>
                <w:sz w:val="20"/>
                <w:szCs w:val="20"/>
              </w:rPr>
              <w:t>20.71</w:t>
            </w:r>
          </w:p>
        </w:tc>
        <w:tc>
          <w:tcPr>
            <w:tcW w:w="1540" w:type="dxa"/>
            <w:tcBorders>
              <w:top w:val="nil"/>
              <w:left w:val="nil"/>
              <w:bottom w:val="nil"/>
              <w:right w:val="nil"/>
            </w:tcBorders>
            <w:shd w:val="clear" w:color="auto" w:fill="auto"/>
            <w:noWrap/>
            <w:vAlign w:val="bottom"/>
            <w:hideMark/>
          </w:tcPr>
          <w:p w14:paraId="7D078E28" w14:textId="77777777" w:rsidR="001F27DD" w:rsidRPr="0095004E" w:rsidRDefault="001F27DD" w:rsidP="006D2DA3">
            <w:pPr>
              <w:jc w:val="right"/>
              <w:rPr>
                <w:color w:val="000000"/>
                <w:sz w:val="20"/>
                <w:szCs w:val="20"/>
              </w:rPr>
            </w:pPr>
            <w:r w:rsidRPr="0095004E">
              <w:rPr>
                <w:color w:val="000000"/>
                <w:sz w:val="20"/>
                <w:szCs w:val="20"/>
              </w:rPr>
              <w:t>21.29</w:t>
            </w:r>
          </w:p>
        </w:tc>
      </w:tr>
      <w:tr w:rsidR="001F27DD" w:rsidRPr="0095004E" w14:paraId="108FC107" w14:textId="77777777" w:rsidTr="006D2DA3">
        <w:trPr>
          <w:trHeight w:val="320"/>
        </w:trPr>
        <w:tc>
          <w:tcPr>
            <w:tcW w:w="2580" w:type="dxa"/>
            <w:tcBorders>
              <w:top w:val="nil"/>
              <w:left w:val="nil"/>
              <w:bottom w:val="nil"/>
              <w:right w:val="nil"/>
            </w:tcBorders>
            <w:shd w:val="clear" w:color="auto" w:fill="auto"/>
            <w:noWrap/>
            <w:vAlign w:val="bottom"/>
            <w:hideMark/>
          </w:tcPr>
          <w:p w14:paraId="746AD7E6" w14:textId="77777777" w:rsidR="001F27DD" w:rsidRPr="0095004E" w:rsidRDefault="001F27DD" w:rsidP="006D2DA3">
            <w:pPr>
              <w:rPr>
                <w:color w:val="000000"/>
                <w:sz w:val="20"/>
                <w:szCs w:val="20"/>
              </w:rPr>
            </w:pPr>
            <w:r w:rsidRPr="0095004E">
              <w:rPr>
                <w:color w:val="000000"/>
                <w:sz w:val="20"/>
                <w:szCs w:val="20"/>
              </w:rPr>
              <w:t>Sum</w:t>
            </w:r>
          </w:p>
        </w:tc>
        <w:tc>
          <w:tcPr>
            <w:tcW w:w="1580" w:type="dxa"/>
            <w:tcBorders>
              <w:top w:val="nil"/>
              <w:left w:val="nil"/>
              <w:bottom w:val="nil"/>
              <w:right w:val="nil"/>
            </w:tcBorders>
            <w:shd w:val="clear" w:color="auto" w:fill="auto"/>
            <w:noWrap/>
            <w:vAlign w:val="bottom"/>
            <w:hideMark/>
          </w:tcPr>
          <w:p w14:paraId="41E98D96" w14:textId="77777777" w:rsidR="001F27DD" w:rsidRPr="0095004E" w:rsidRDefault="001F27DD" w:rsidP="006D2DA3">
            <w:pPr>
              <w:jc w:val="right"/>
              <w:rPr>
                <w:color w:val="000000"/>
                <w:sz w:val="20"/>
                <w:szCs w:val="20"/>
              </w:rPr>
            </w:pPr>
            <w:r w:rsidRPr="0095004E">
              <w:rPr>
                <w:color w:val="000000"/>
                <w:sz w:val="20"/>
                <w:szCs w:val="20"/>
              </w:rPr>
              <w:t>143.81</w:t>
            </w:r>
          </w:p>
        </w:tc>
        <w:tc>
          <w:tcPr>
            <w:tcW w:w="1540" w:type="dxa"/>
            <w:tcBorders>
              <w:top w:val="nil"/>
              <w:left w:val="nil"/>
              <w:bottom w:val="nil"/>
              <w:right w:val="nil"/>
            </w:tcBorders>
            <w:shd w:val="clear" w:color="auto" w:fill="auto"/>
            <w:noWrap/>
            <w:vAlign w:val="bottom"/>
            <w:hideMark/>
          </w:tcPr>
          <w:p w14:paraId="37E99739" w14:textId="77777777" w:rsidR="001F27DD" w:rsidRPr="0095004E" w:rsidRDefault="001F27DD" w:rsidP="006D2DA3">
            <w:pPr>
              <w:jc w:val="right"/>
              <w:rPr>
                <w:color w:val="000000"/>
                <w:sz w:val="20"/>
                <w:szCs w:val="20"/>
              </w:rPr>
            </w:pPr>
            <w:r w:rsidRPr="0095004E">
              <w:rPr>
                <w:color w:val="000000"/>
                <w:sz w:val="20"/>
                <w:szCs w:val="20"/>
              </w:rPr>
              <w:t>45.84</w:t>
            </w:r>
          </w:p>
        </w:tc>
        <w:tc>
          <w:tcPr>
            <w:tcW w:w="1300" w:type="dxa"/>
            <w:tcBorders>
              <w:top w:val="nil"/>
              <w:left w:val="nil"/>
              <w:bottom w:val="nil"/>
              <w:right w:val="nil"/>
            </w:tcBorders>
            <w:shd w:val="clear" w:color="auto" w:fill="auto"/>
            <w:noWrap/>
            <w:vAlign w:val="bottom"/>
            <w:hideMark/>
          </w:tcPr>
          <w:p w14:paraId="175B367C" w14:textId="77777777" w:rsidR="001F27DD" w:rsidRPr="0095004E" w:rsidRDefault="001F27DD" w:rsidP="006D2DA3">
            <w:pPr>
              <w:jc w:val="right"/>
              <w:rPr>
                <w:color w:val="000000"/>
                <w:sz w:val="20"/>
                <w:szCs w:val="20"/>
              </w:rPr>
            </w:pPr>
            <w:r w:rsidRPr="0095004E">
              <w:rPr>
                <w:color w:val="000000"/>
                <w:sz w:val="20"/>
                <w:szCs w:val="20"/>
              </w:rPr>
              <w:t>4.59</w:t>
            </w:r>
          </w:p>
        </w:tc>
        <w:tc>
          <w:tcPr>
            <w:tcW w:w="1540" w:type="dxa"/>
            <w:tcBorders>
              <w:top w:val="nil"/>
              <w:left w:val="nil"/>
              <w:bottom w:val="nil"/>
              <w:right w:val="nil"/>
            </w:tcBorders>
            <w:shd w:val="clear" w:color="auto" w:fill="auto"/>
            <w:noWrap/>
            <w:vAlign w:val="bottom"/>
            <w:hideMark/>
          </w:tcPr>
          <w:p w14:paraId="2145DF2F" w14:textId="77777777" w:rsidR="001F27DD" w:rsidRPr="0095004E" w:rsidRDefault="001F27DD" w:rsidP="006D2DA3">
            <w:pPr>
              <w:jc w:val="right"/>
              <w:rPr>
                <w:color w:val="000000"/>
                <w:sz w:val="20"/>
                <w:szCs w:val="20"/>
              </w:rPr>
            </w:pPr>
            <w:r w:rsidRPr="0095004E">
              <w:rPr>
                <w:color w:val="000000"/>
                <w:sz w:val="20"/>
                <w:szCs w:val="20"/>
              </w:rPr>
              <w:t>136.45</w:t>
            </w:r>
          </w:p>
        </w:tc>
      </w:tr>
      <w:tr w:rsidR="001F27DD" w:rsidRPr="0095004E" w14:paraId="2A67DE6A" w14:textId="77777777" w:rsidTr="006D2DA3">
        <w:trPr>
          <w:trHeight w:val="320"/>
        </w:trPr>
        <w:tc>
          <w:tcPr>
            <w:tcW w:w="2580" w:type="dxa"/>
            <w:tcBorders>
              <w:top w:val="nil"/>
              <w:left w:val="nil"/>
              <w:bottom w:val="nil"/>
              <w:right w:val="nil"/>
            </w:tcBorders>
            <w:shd w:val="clear" w:color="auto" w:fill="auto"/>
            <w:noWrap/>
            <w:vAlign w:val="bottom"/>
            <w:hideMark/>
          </w:tcPr>
          <w:p w14:paraId="75ECF0CC" w14:textId="77777777" w:rsidR="001F27DD" w:rsidRPr="0095004E" w:rsidRDefault="001F27DD" w:rsidP="006D2DA3">
            <w:pPr>
              <w:rPr>
                <w:color w:val="000000"/>
                <w:sz w:val="20"/>
                <w:szCs w:val="20"/>
              </w:rPr>
            </w:pPr>
            <w:r w:rsidRPr="0095004E">
              <w:rPr>
                <w:color w:val="000000"/>
                <w:sz w:val="20"/>
                <w:szCs w:val="20"/>
              </w:rPr>
              <w:t>Count</w:t>
            </w:r>
          </w:p>
        </w:tc>
        <w:tc>
          <w:tcPr>
            <w:tcW w:w="1580" w:type="dxa"/>
            <w:tcBorders>
              <w:top w:val="nil"/>
              <w:left w:val="nil"/>
              <w:bottom w:val="nil"/>
              <w:right w:val="nil"/>
            </w:tcBorders>
            <w:shd w:val="clear" w:color="auto" w:fill="auto"/>
            <w:noWrap/>
            <w:vAlign w:val="bottom"/>
            <w:hideMark/>
          </w:tcPr>
          <w:p w14:paraId="1DDEB859"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0452FA17" w14:textId="77777777" w:rsidR="001F27DD" w:rsidRPr="0095004E" w:rsidRDefault="001F27DD" w:rsidP="006D2DA3">
            <w:pPr>
              <w:jc w:val="right"/>
              <w:rPr>
                <w:color w:val="000000"/>
                <w:sz w:val="20"/>
                <w:szCs w:val="20"/>
              </w:rPr>
            </w:pPr>
            <w:r w:rsidRPr="0095004E">
              <w:rPr>
                <w:color w:val="000000"/>
                <w:sz w:val="20"/>
                <w:szCs w:val="20"/>
              </w:rPr>
              <w:t>96</w:t>
            </w:r>
          </w:p>
        </w:tc>
        <w:tc>
          <w:tcPr>
            <w:tcW w:w="1300" w:type="dxa"/>
            <w:tcBorders>
              <w:top w:val="nil"/>
              <w:left w:val="nil"/>
              <w:bottom w:val="nil"/>
              <w:right w:val="nil"/>
            </w:tcBorders>
            <w:shd w:val="clear" w:color="auto" w:fill="auto"/>
            <w:noWrap/>
            <w:vAlign w:val="bottom"/>
            <w:hideMark/>
          </w:tcPr>
          <w:p w14:paraId="7E50E9F7"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012CAFFB" w14:textId="77777777" w:rsidR="001F27DD" w:rsidRPr="0095004E" w:rsidRDefault="001F27DD" w:rsidP="006D2DA3">
            <w:pPr>
              <w:jc w:val="right"/>
              <w:rPr>
                <w:color w:val="000000"/>
                <w:sz w:val="20"/>
                <w:szCs w:val="20"/>
              </w:rPr>
            </w:pPr>
            <w:r w:rsidRPr="0095004E">
              <w:rPr>
                <w:color w:val="000000"/>
                <w:sz w:val="20"/>
                <w:szCs w:val="20"/>
              </w:rPr>
              <w:t>96</w:t>
            </w:r>
          </w:p>
        </w:tc>
      </w:tr>
      <w:tr w:rsidR="001F27DD" w:rsidRPr="0095004E" w14:paraId="427B6433" w14:textId="77777777" w:rsidTr="006D2DA3">
        <w:trPr>
          <w:trHeight w:val="340"/>
        </w:trPr>
        <w:tc>
          <w:tcPr>
            <w:tcW w:w="2580" w:type="dxa"/>
            <w:tcBorders>
              <w:top w:val="nil"/>
              <w:left w:val="nil"/>
              <w:bottom w:val="single" w:sz="8" w:space="0" w:color="auto"/>
              <w:right w:val="nil"/>
            </w:tcBorders>
            <w:shd w:val="clear" w:color="auto" w:fill="auto"/>
            <w:noWrap/>
            <w:vAlign w:val="bottom"/>
            <w:hideMark/>
          </w:tcPr>
          <w:p w14:paraId="6DCC651E" w14:textId="77777777" w:rsidR="001F27DD" w:rsidRPr="0095004E" w:rsidRDefault="001F27DD" w:rsidP="006D2DA3">
            <w:pPr>
              <w:rPr>
                <w:color w:val="000000"/>
                <w:sz w:val="20"/>
                <w:szCs w:val="20"/>
              </w:rPr>
            </w:pPr>
            <w:r w:rsidRPr="0095004E">
              <w:rPr>
                <w:color w:val="000000"/>
                <w:sz w:val="20"/>
                <w:szCs w:val="20"/>
              </w:rPr>
              <w:t>Confidence Level(95.0%)</w:t>
            </w:r>
          </w:p>
        </w:tc>
        <w:tc>
          <w:tcPr>
            <w:tcW w:w="1580" w:type="dxa"/>
            <w:tcBorders>
              <w:top w:val="nil"/>
              <w:left w:val="nil"/>
              <w:bottom w:val="single" w:sz="8" w:space="0" w:color="auto"/>
              <w:right w:val="nil"/>
            </w:tcBorders>
            <w:shd w:val="clear" w:color="auto" w:fill="auto"/>
            <w:noWrap/>
            <w:vAlign w:val="bottom"/>
            <w:hideMark/>
          </w:tcPr>
          <w:p w14:paraId="555028B8" w14:textId="77777777" w:rsidR="001F27DD" w:rsidRPr="0095004E" w:rsidRDefault="001F27DD" w:rsidP="006D2DA3">
            <w:pPr>
              <w:jc w:val="right"/>
              <w:rPr>
                <w:color w:val="000000"/>
                <w:sz w:val="20"/>
                <w:szCs w:val="20"/>
              </w:rPr>
            </w:pPr>
            <w:r w:rsidRPr="0095004E">
              <w:rPr>
                <w:color w:val="000000"/>
                <w:sz w:val="20"/>
                <w:szCs w:val="20"/>
              </w:rPr>
              <w:t>1.583013335</w:t>
            </w:r>
          </w:p>
        </w:tc>
        <w:tc>
          <w:tcPr>
            <w:tcW w:w="1540" w:type="dxa"/>
            <w:tcBorders>
              <w:top w:val="nil"/>
              <w:left w:val="nil"/>
              <w:bottom w:val="single" w:sz="8" w:space="0" w:color="auto"/>
              <w:right w:val="nil"/>
            </w:tcBorders>
            <w:shd w:val="clear" w:color="auto" w:fill="auto"/>
            <w:noWrap/>
            <w:vAlign w:val="bottom"/>
            <w:hideMark/>
          </w:tcPr>
          <w:p w14:paraId="7F3703F7" w14:textId="77777777" w:rsidR="001F27DD" w:rsidRPr="0095004E" w:rsidRDefault="001F27DD" w:rsidP="006D2DA3">
            <w:pPr>
              <w:jc w:val="right"/>
              <w:rPr>
                <w:color w:val="000000"/>
                <w:sz w:val="20"/>
                <w:szCs w:val="20"/>
              </w:rPr>
            </w:pPr>
            <w:r w:rsidRPr="0095004E">
              <w:rPr>
                <w:color w:val="000000"/>
                <w:sz w:val="20"/>
                <w:szCs w:val="20"/>
              </w:rPr>
              <w:t>0.632943708</w:t>
            </w:r>
          </w:p>
        </w:tc>
        <w:tc>
          <w:tcPr>
            <w:tcW w:w="1300" w:type="dxa"/>
            <w:tcBorders>
              <w:top w:val="nil"/>
              <w:left w:val="nil"/>
              <w:bottom w:val="single" w:sz="8" w:space="0" w:color="auto"/>
              <w:right w:val="nil"/>
            </w:tcBorders>
            <w:shd w:val="clear" w:color="auto" w:fill="auto"/>
            <w:noWrap/>
            <w:vAlign w:val="bottom"/>
            <w:hideMark/>
          </w:tcPr>
          <w:p w14:paraId="7CA014DC" w14:textId="77777777" w:rsidR="001F27DD" w:rsidRPr="0095004E" w:rsidRDefault="001F27DD" w:rsidP="006D2DA3">
            <w:pPr>
              <w:jc w:val="right"/>
              <w:rPr>
                <w:color w:val="000000"/>
                <w:sz w:val="20"/>
                <w:szCs w:val="20"/>
              </w:rPr>
            </w:pPr>
            <w:r w:rsidRPr="0095004E">
              <w:rPr>
                <w:color w:val="000000"/>
                <w:sz w:val="20"/>
                <w:szCs w:val="20"/>
              </w:rPr>
              <w:t>1.16422981</w:t>
            </w:r>
          </w:p>
        </w:tc>
        <w:tc>
          <w:tcPr>
            <w:tcW w:w="1540" w:type="dxa"/>
            <w:tcBorders>
              <w:top w:val="nil"/>
              <w:left w:val="nil"/>
              <w:bottom w:val="single" w:sz="8" w:space="0" w:color="auto"/>
              <w:right w:val="nil"/>
            </w:tcBorders>
            <w:shd w:val="clear" w:color="auto" w:fill="auto"/>
            <w:noWrap/>
            <w:vAlign w:val="bottom"/>
            <w:hideMark/>
          </w:tcPr>
          <w:p w14:paraId="244D3F20" w14:textId="77777777" w:rsidR="001F27DD" w:rsidRPr="0095004E" w:rsidRDefault="001F27DD" w:rsidP="006D2DA3">
            <w:pPr>
              <w:jc w:val="right"/>
              <w:rPr>
                <w:color w:val="000000"/>
                <w:sz w:val="20"/>
                <w:szCs w:val="20"/>
              </w:rPr>
            </w:pPr>
            <w:r w:rsidRPr="0095004E">
              <w:rPr>
                <w:color w:val="000000"/>
                <w:sz w:val="20"/>
                <w:szCs w:val="20"/>
              </w:rPr>
              <w:t>1.580925883</w:t>
            </w:r>
          </w:p>
        </w:tc>
      </w:tr>
    </w:tbl>
    <w:p w14:paraId="12BFCD80" w14:textId="77777777" w:rsidR="001F27DD" w:rsidRDefault="001F27DD" w:rsidP="001F27DD">
      <w:pPr>
        <w:rPr>
          <w:sz w:val="22"/>
          <w:szCs w:val="22"/>
        </w:rPr>
      </w:pPr>
    </w:p>
    <w:p w14:paraId="633B5A3A" w14:textId="77777777" w:rsidR="001F27DD" w:rsidRPr="0095004E" w:rsidRDefault="001F27DD" w:rsidP="001F27DD">
      <w:pPr>
        <w:pStyle w:val="paragraph"/>
        <w:spacing w:before="0" w:beforeAutospacing="0" w:after="0" w:afterAutospacing="0"/>
        <w:textAlignment w:val="baseline"/>
        <w:rPr>
          <w:b/>
          <w:bCs/>
        </w:rPr>
      </w:pPr>
      <w:r w:rsidRPr="0095004E">
        <w:rPr>
          <w:rStyle w:val="normaltextrun"/>
          <w:b/>
          <w:bCs/>
        </w:rPr>
        <w:t xml:space="preserve">Table 6: Descriptive statistics of independent variables and the monthly returns </w:t>
      </w:r>
    </w:p>
    <w:tbl>
      <w:tblPr>
        <w:tblW w:w="8540" w:type="dxa"/>
        <w:tblLook w:val="04A0" w:firstRow="1" w:lastRow="0" w:firstColumn="1" w:lastColumn="0" w:noHBand="0" w:noVBand="1"/>
      </w:tblPr>
      <w:tblGrid>
        <w:gridCol w:w="2580"/>
        <w:gridCol w:w="1580"/>
        <w:gridCol w:w="1540"/>
        <w:gridCol w:w="1300"/>
        <w:gridCol w:w="1540"/>
      </w:tblGrid>
      <w:tr w:rsidR="001F27DD" w:rsidRPr="00F30121" w14:paraId="46E8D951" w14:textId="77777777" w:rsidTr="006D2DA3">
        <w:trPr>
          <w:trHeight w:val="320"/>
        </w:trPr>
        <w:tc>
          <w:tcPr>
            <w:tcW w:w="2580" w:type="dxa"/>
            <w:tcBorders>
              <w:top w:val="single" w:sz="8" w:space="0" w:color="auto"/>
              <w:left w:val="nil"/>
              <w:bottom w:val="single" w:sz="4" w:space="0" w:color="auto"/>
              <w:right w:val="nil"/>
            </w:tcBorders>
            <w:shd w:val="clear" w:color="auto" w:fill="auto"/>
            <w:noWrap/>
            <w:vAlign w:val="bottom"/>
            <w:hideMark/>
          </w:tcPr>
          <w:p w14:paraId="77013BC8" w14:textId="77777777" w:rsidR="001F27DD" w:rsidRPr="0095004E" w:rsidRDefault="001F27DD" w:rsidP="006D2DA3">
            <w:pPr>
              <w:jc w:val="center"/>
              <w:rPr>
                <w:i/>
                <w:iCs/>
                <w:color w:val="000000"/>
                <w:sz w:val="20"/>
                <w:szCs w:val="20"/>
              </w:rPr>
            </w:pPr>
            <w:r w:rsidRPr="0095004E">
              <w:rPr>
                <w:i/>
                <w:iCs/>
                <w:color w:val="000000"/>
                <w:sz w:val="20"/>
                <w:szCs w:val="20"/>
              </w:rPr>
              <w:t>Singapore</w:t>
            </w:r>
          </w:p>
        </w:tc>
        <w:tc>
          <w:tcPr>
            <w:tcW w:w="1580" w:type="dxa"/>
            <w:tcBorders>
              <w:top w:val="single" w:sz="8" w:space="0" w:color="auto"/>
              <w:left w:val="nil"/>
              <w:bottom w:val="single" w:sz="4" w:space="0" w:color="auto"/>
              <w:right w:val="nil"/>
            </w:tcBorders>
            <w:shd w:val="clear" w:color="auto" w:fill="auto"/>
            <w:noWrap/>
            <w:vAlign w:val="bottom"/>
            <w:hideMark/>
          </w:tcPr>
          <w:p w14:paraId="055F6A43" w14:textId="77777777" w:rsidR="001F27DD" w:rsidRPr="0095004E" w:rsidRDefault="001F27DD" w:rsidP="006D2DA3">
            <w:pPr>
              <w:jc w:val="center"/>
              <w:rPr>
                <w:i/>
                <w:iCs/>
                <w:color w:val="000000"/>
                <w:sz w:val="20"/>
                <w:szCs w:val="20"/>
              </w:rPr>
            </w:pPr>
            <w:r w:rsidRPr="0095004E">
              <w:rPr>
                <w:i/>
                <w:iCs/>
                <w:color w:val="000000"/>
                <w:sz w:val="20"/>
                <w:szCs w:val="20"/>
              </w:rPr>
              <w:t>Returns</w:t>
            </w:r>
          </w:p>
        </w:tc>
        <w:tc>
          <w:tcPr>
            <w:tcW w:w="1540" w:type="dxa"/>
            <w:tcBorders>
              <w:top w:val="single" w:sz="8" w:space="0" w:color="auto"/>
              <w:left w:val="nil"/>
              <w:bottom w:val="single" w:sz="4" w:space="0" w:color="auto"/>
              <w:right w:val="nil"/>
            </w:tcBorders>
            <w:shd w:val="clear" w:color="auto" w:fill="auto"/>
            <w:noWrap/>
            <w:vAlign w:val="bottom"/>
            <w:hideMark/>
          </w:tcPr>
          <w:p w14:paraId="387C3088" w14:textId="77777777" w:rsidR="001F27DD" w:rsidRPr="0095004E" w:rsidRDefault="001F27DD" w:rsidP="006D2DA3">
            <w:pPr>
              <w:jc w:val="center"/>
              <w:rPr>
                <w:i/>
                <w:iCs/>
                <w:color w:val="000000"/>
                <w:sz w:val="20"/>
                <w:szCs w:val="20"/>
              </w:rPr>
            </w:pPr>
            <w:r w:rsidRPr="0095004E">
              <w:rPr>
                <w:i/>
                <w:iCs/>
                <w:color w:val="000000"/>
                <w:sz w:val="20"/>
                <w:szCs w:val="20"/>
              </w:rPr>
              <w:t>HML</w:t>
            </w:r>
          </w:p>
        </w:tc>
        <w:tc>
          <w:tcPr>
            <w:tcW w:w="1300" w:type="dxa"/>
            <w:tcBorders>
              <w:top w:val="single" w:sz="8" w:space="0" w:color="auto"/>
              <w:left w:val="nil"/>
              <w:bottom w:val="single" w:sz="4" w:space="0" w:color="auto"/>
              <w:right w:val="nil"/>
            </w:tcBorders>
            <w:shd w:val="clear" w:color="auto" w:fill="auto"/>
            <w:noWrap/>
            <w:vAlign w:val="bottom"/>
            <w:hideMark/>
          </w:tcPr>
          <w:p w14:paraId="0F5EA0FC" w14:textId="77777777" w:rsidR="001F27DD" w:rsidRPr="0095004E" w:rsidRDefault="001F27DD" w:rsidP="006D2DA3">
            <w:pPr>
              <w:jc w:val="center"/>
              <w:rPr>
                <w:i/>
                <w:iCs/>
                <w:color w:val="000000"/>
                <w:sz w:val="20"/>
                <w:szCs w:val="20"/>
              </w:rPr>
            </w:pPr>
            <w:r w:rsidRPr="0095004E">
              <w:rPr>
                <w:i/>
                <w:iCs/>
                <w:color w:val="000000"/>
                <w:sz w:val="20"/>
                <w:szCs w:val="20"/>
              </w:rPr>
              <w:t>SMB</w:t>
            </w:r>
          </w:p>
        </w:tc>
        <w:tc>
          <w:tcPr>
            <w:tcW w:w="1540" w:type="dxa"/>
            <w:tcBorders>
              <w:top w:val="single" w:sz="8" w:space="0" w:color="auto"/>
              <w:left w:val="nil"/>
              <w:bottom w:val="single" w:sz="4" w:space="0" w:color="auto"/>
              <w:right w:val="nil"/>
            </w:tcBorders>
            <w:shd w:val="clear" w:color="auto" w:fill="auto"/>
            <w:noWrap/>
            <w:vAlign w:val="bottom"/>
            <w:hideMark/>
          </w:tcPr>
          <w:p w14:paraId="3C529347" w14:textId="77777777" w:rsidR="001F27DD" w:rsidRPr="0095004E" w:rsidRDefault="001F27DD" w:rsidP="006D2DA3">
            <w:pPr>
              <w:jc w:val="center"/>
              <w:rPr>
                <w:i/>
                <w:iCs/>
                <w:color w:val="000000"/>
                <w:sz w:val="20"/>
                <w:szCs w:val="20"/>
              </w:rPr>
            </w:pPr>
            <w:r w:rsidRPr="0095004E">
              <w:rPr>
                <w:i/>
                <w:iCs/>
                <w:color w:val="000000"/>
                <w:sz w:val="20"/>
                <w:szCs w:val="20"/>
              </w:rPr>
              <w:t>Rm_Rf</w:t>
            </w:r>
          </w:p>
        </w:tc>
      </w:tr>
      <w:tr w:rsidR="001F27DD" w:rsidRPr="00F30121" w14:paraId="1FDA4527" w14:textId="77777777" w:rsidTr="006D2DA3">
        <w:trPr>
          <w:trHeight w:val="320"/>
        </w:trPr>
        <w:tc>
          <w:tcPr>
            <w:tcW w:w="2580" w:type="dxa"/>
            <w:tcBorders>
              <w:top w:val="nil"/>
              <w:left w:val="nil"/>
              <w:bottom w:val="nil"/>
              <w:right w:val="nil"/>
            </w:tcBorders>
            <w:shd w:val="clear" w:color="auto" w:fill="auto"/>
            <w:noWrap/>
            <w:vAlign w:val="bottom"/>
            <w:hideMark/>
          </w:tcPr>
          <w:p w14:paraId="6DE5E00D" w14:textId="77777777" w:rsidR="001F27DD" w:rsidRPr="0095004E" w:rsidRDefault="001F27DD" w:rsidP="006D2DA3">
            <w:pPr>
              <w:rPr>
                <w:color w:val="000000"/>
                <w:sz w:val="20"/>
                <w:szCs w:val="20"/>
              </w:rPr>
            </w:pPr>
            <w:r w:rsidRPr="0095004E">
              <w:rPr>
                <w:color w:val="000000"/>
                <w:sz w:val="20"/>
                <w:szCs w:val="20"/>
              </w:rPr>
              <w:t>Mean</w:t>
            </w:r>
          </w:p>
        </w:tc>
        <w:tc>
          <w:tcPr>
            <w:tcW w:w="1580" w:type="dxa"/>
            <w:tcBorders>
              <w:top w:val="nil"/>
              <w:left w:val="nil"/>
              <w:bottom w:val="nil"/>
              <w:right w:val="nil"/>
            </w:tcBorders>
            <w:shd w:val="clear" w:color="auto" w:fill="auto"/>
            <w:noWrap/>
            <w:vAlign w:val="bottom"/>
            <w:hideMark/>
          </w:tcPr>
          <w:p w14:paraId="26D13495" w14:textId="77777777" w:rsidR="001F27DD" w:rsidRPr="0095004E" w:rsidRDefault="001F27DD" w:rsidP="006D2DA3">
            <w:pPr>
              <w:jc w:val="right"/>
              <w:rPr>
                <w:color w:val="000000"/>
                <w:sz w:val="20"/>
                <w:szCs w:val="20"/>
              </w:rPr>
            </w:pPr>
            <w:r w:rsidRPr="0095004E">
              <w:rPr>
                <w:color w:val="000000"/>
                <w:sz w:val="20"/>
                <w:szCs w:val="20"/>
              </w:rPr>
              <w:t>1.0396875</w:t>
            </w:r>
          </w:p>
        </w:tc>
        <w:tc>
          <w:tcPr>
            <w:tcW w:w="1540" w:type="dxa"/>
            <w:tcBorders>
              <w:top w:val="nil"/>
              <w:left w:val="nil"/>
              <w:bottom w:val="nil"/>
              <w:right w:val="nil"/>
            </w:tcBorders>
            <w:shd w:val="clear" w:color="auto" w:fill="auto"/>
            <w:noWrap/>
            <w:vAlign w:val="bottom"/>
            <w:hideMark/>
          </w:tcPr>
          <w:p w14:paraId="42DAF44C" w14:textId="77777777" w:rsidR="001F27DD" w:rsidRPr="0095004E" w:rsidRDefault="001F27DD" w:rsidP="006D2DA3">
            <w:pPr>
              <w:jc w:val="right"/>
              <w:rPr>
                <w:color w:val="000000"/>
                <w:sz w:val="20"/>
                <w:szCs w:val="20"/>
              </w:rPr>
            </w:pPr>
            <w:r w:rsidRPr="0095004E">
              <w:rPr>
                <w:color w:val="000000"/>
                <w:sz w:val="20"/>
                <w:szCs w:val="20"/>
              </w:rPr>
              <w:t>0.683020833</w:t>
            </w:r>
          </w:p>
        </w:tc>
        <w:tc>
          <w:tcPr>
            <w:tcW w:w="1300" w:type="dxa"/>
            <w:tcBorders>
              <w:top w:val="nil"/>
              <w:left w:val="nil"/>
              <w:bottom w:val="nil"/>
              <w:right w:val="nil"/>
            </w:tcBorders>
            <w:shd w:val="clear" w:color="auto" w:fill="auto"/>
            <w:noWrap/>
            <w:vAlign w:val="bottom"/>
            <w:hideMark/>
          </w:tcPr>
          <w:p w14:paraId="64DADBFA" w14:textId="77777777" w:rsidR="001F27DD" w:rsidRPr="0095004E" w:rsidRDefault="001F27DD" w:rsidP="006D2DA3">
            <w:pPr>
              <w:jc w:val="right"/>
              <w:rPr>
                <w:color w:val="000000"/>
                <w:sz w:val="20"/>
                <w:szCs w:val="20"/>
              </w:rPr>
            </w:pPr>
            <w:r w:rsidRPr="0095004E">
              <w:rPr>
                <w:color w:val="000000"/>
                <w:sz w:val="20"/>
                <w:szCs w:val="20"/>
              </w:rPr>
              <w:t>0.17666667</w:t>
            </w:r>
          </w:p>
        </w:tc>
        <w:tc>
          <w:tcPr>
            <w:tcW w:w="1540" w:type="dxa"/>
            <w:tcBorders>
              <w:top w:val="nil"/>
              <w:left w:val="nil"/>
              <w:bottom w:val="nil"/>
              <w:right w:val="nil"/>
            </w:tcBorders>
            <w:shd w:val="clear" w:color="auto" w:fill="auto"/>
            <w:noWrap/>
            <w:vAlign w:val="bottom"/>
            <w:hideMark/>
          </w:tcPr>
          <w:p w14:paraId="3B35F3E4" w14:textId="77777777" w:rsidR="001F27DD" w:rsidRPr="0095004E" w:rsidRDefault="001F27DD" w:rsidP="006D2DA3">
            <w:pPr>
              <w:jc w:val="right"/>
              <w:rPr>
                <w:color w:val="000000"/>
                <w:sz w:val="20"/>
                <w:szCs w:val="20"/>
              </w:rPr>
            </w:pPr>
            <w:r w:rsidRPr="0095004E">
              <w:rPr>
                <w:color w:val="000000"/>
                <w:sz w:val="20"/>
                <w:szCs w:val="20"/>
              </w:rPr>
              <w:t>0.94125</w:t>
            </w:r>
          </w:p>
        </w:tc>
      </w:tr>
      <w:tr w:rsidR="001F27DD" w:rsidRPr="00F30121" w14:paraId="65690E81" w14:textId="77777777" w:rsidTr="006D2DA3">
        <w:trPr>
          <w:trHeight w:val="320"/>
        </w:trPr>
        <w:tc>
          <w:tcPr>
            <w:tcW w:w="2580" w:type="dxa"/>
            <w:tcBorders>
              <w:top w:val="nil"/>
              <w:left w:val="nil"/>
              <w:bottom w:val="nil"/>
              <w:right w:val="nil"/>
            </w:tcBorders>
            <w:shd w:val="clear" w:color="auto" w:fill="auto"/>
            <w:noWrap/>
            <w:vAlign w:val="bottom"/>
            <w:hideMark/>
          </w:tcPr>
          <w:p w14:paraId="139B9C0C" w14:textId="77777777" w:rsidR="001F27DD" w:rsidRPr="0095004E" w:rsidRDefault="001F27DD" w:rsidP="006D2DA3">
            <w:pPr>
              <w:rPr>
                <w:color w:val="000000"/>
                <w:sz w:val="20"/>
                <w:szCs w:val="20"/>
              </w:rPr>
            </w:pPr>
            <w:r w:rsidRPr="0095004E">
              <w:rPr>
                <w:color w:val="000000"/>
                <w:sz w:val="20"/>
                <w:szCs w:val="20"/>
              </w:rPr>
              <w:t>Standard Error</w:t>
            </w:r>
          </w:p>
        </w:tc>
        <w:tc>
          <w:tcPr>
            <w:tcW w:w="1580" w:type="dxa"/>
            <w:tcBorders>
              <w:top w:val="nil"/>
              <w:left w:val="nil"/>
              <w:bottom w:val="nil"/>
              <w:right w:val="nil"/>
            </w:tcBorders>
            <w:shd w:val="clear" w:color="auto" w:fill="auto"/>
            <w:noWrap/>
            <w:vAlign w:val="bottom"/>
            <w:hideMark/>
          </w:tcPr>
          <w:p w14:paraId="53BE38A6" w14:textId="77777777" w:rsidR="001F27DD" w:rsidRPr="0095004E" w:rsidRDefault="001F27DD" w:rsidP="006D2DA3">
            <w:pPr>
              <w:jc w:val="right"/>
              <w:rPr>
                <w:color w:val="000000"/>
                <w:sz w:val="20"/>
                <w:szCs w:val="20"/>
              </w:rPr>
            </w:pPr>
            <w:r w:rsidRPr="0095004E">
              <w:rPr>
                <w:color w:val="000000"/>
                <w:sz w:val="20"/>
                <w:szCs w:val="20"/>
              </w:rPr>
              <w:t>0.658226109</w:t>
            </w:r>
          </w:p>
        </w:tc>
        <w:tc>
          <w:tcPr>
            <w:tcW w:w="1540" w:type="dxa"/>
            <w:tcBorders>
              <w:top w:val="nil"/>
              <w:left w:val="nil"/>
              <w:bottom w:val="nil"/>
              <w:right w:val="nil"/>
            </w:tcBorders>
            <w:shd w:val="clear" w:color="auto" w:fill="auto"/>
            <w:noWrap/>
            <w:vAlign w:val="bottom"/>
            <w:hideMark/>
          </w:tcPr>
          <w:p w14:paraId="43900C4D" w14:textId="77777777" w:rsidR="001F27DD" w:rsidRPr="0095004E" w:rsidRDefault="001F27DD" w:rsidP="006D2DA3">
            <w:pPr>
              <w:jc w:val="right"/>
              <w:rPr>
                <w:color w:val="000000"/>
                <w:sz w:val="20"/>
                <w:szCs w:val="20"/>
              </w:rPr>
            </w:pPr>
            <w:r w:rsidRPr="0095004E">
              <w:rPr>
                <w:color w:val="000000"/>
                <w:sz w:val="20"/>
                <w:szCs w:val="20"/>
              </w:rPr>
              <w:t>0.221495471</w:t>
            </w:r>
          </w:p>
        </w:tc>
        <w:tc>
          <w:tcPr>
            <w:tcW w:w="1300" w:type="dxa"/>
            <w:tcBorders>
              <w:top w:val="nil"/>
              <w:left w:val="nil"/>
              <w:bottom w:val="nil"/>
              <w:right w:val="nil"/>
            </w:tcBorders>
            <w:shd w:val="clear" w:color="auto" w:fill="auto"/>
            <w:noWrap/>
            <w:vAlign w:val="bottom"/>
            <w:hideMark/>
          </w:tcPr>
          <w:p w14:paraId="0834B134" w14:textId="77777777" w:rsidR="001F27DD" w:rsidRPr="0095004E" w:rsidRDefault="001F27DD" w:rsidP="006D2DA3">
            <w:pPr>
              <w:jc w:val="right"/>
              <w:rPr>
                <w:color w:val="000000"/>
                <w:sz w:val="20"/>
                <w:szCs w:val="20"/>
              </w:rPr>
            </w:pPr>
            <w:r w:rsidRPr="0095004E">
              <w:rPr>
                <w:color w:val="000000"/>
                <w:sz w:val="20"/>
                <w:szCs w:val="20"/>
              </w:rPr>
              <w:t>0.42906832</w:t>
            </w:r>
          </w:p>
        </w:tc>
        <w:tc>
          <w:tcPr>
            <w:tcW w:w="1540" w:type="dxa"/>
            <w:tcBorders>
              <w:top w:val="nil"/>
              <w:left w:val="nil"/>
              <w:bottom w:val="nil"/>
              <w:right w:val="nil"/>
            </w:tcBorders>
            <w:shd w:val="clear" w:color="auto" w:fill="auto"/>
            <w:noWrap/>
            <w:vAlign w:val="bottom"/>
            <w:hideMark/>
          </w:tcPr>
          <w:p w14:paraId="687ED973" w14:textId="77777777" w:rsidR="001F27DD" w:rsidRPr="0095004E" w:rsidRDefault="001F27DD" w:rsidP="006D2DA3">
            <w:pPr>
              <w:jc w:val="right"/>
              <w:rPr>
                <w:color w:val="000000"/>
                <w:sz w:val="20"/>
                <w:szCs w:val="20"/>
              </w:rPr>
            </w:pPr>
            <w:r w:rsidRPr="0095004E">
              <w:rPr>
                <w:color w:val="000000"/>
                <w:sz w:val="20"/>
                <w:szCs w:val="20"/>
              </w:rPr>
              <w:t>0.65823665</w:t>
            </w:r>
          </w:p>
        </w:tc>
      </w:tr>
      <w:tr w:rsidR="001F27DD" w:rsidRPr="00F30121" w14:paraId="699BDBBC" w14:textId="77777777" w:rsidTr="006D2DA3">
        <w:trPr>
          <w:trHeight w:val="320"/>
        </w:trPr>
        <w:tc>
          <w:tcPr>
            <w:tcW w:w="2580" w:type="dxa"/>
            <w:tcBorders>
              <w:top w:val="nil"/>
              <w:left w:val="nil"/>
              <w:bottom w:val="nil"/>
              <w:right w:val="nil"/>
            </w:tcBorders>
            <w:shd w:val="clear" w:color="auto" w:fill="auto"/>
            <w:noWrap/>
            <w:vAlign w:val="bottom"/>
            <w:hideMark/>
          </w:tcPr>
          <w:p w14:paraId="0A5E6320" w14:textId="77777777" w:rsidR="001F27DD" w:rsidRPr="0095004E" w:rsidRDefault="001F27DD" w:rsidP="006D2DA3">
            <w:pPr>
              <w:rPr>
                <w:color w:val="000000"/>
                <w:sz w:val="20"/>
                <w:szCs w:val="20"/>
              </w:rPr>
            </w:pPr>
            <w:r w:rsidRPr="0095004E">
              <w:rPr>
                <w:color w:val="000000"/>
                <w:sz w:val="20"/>
                <w:szCs w:val="20"/>
              </w:rPr>
              <w:t>Median</w:t>
            </w:r>
          </w:p>
        </w:tc>
        <w:tc>
          <w:tcPr>
            <w:tcW w:w="1580" w:type="dxa"/>
            <w:tcBorders>
              <w:top w:val="nil"/>
              <w:left w:val="nil"/>
              <w:bottom w:val="nil"/>
              <w:right w:val="nil"/>
            </w:tcBorders>
            <w:shd w:val="clear" w:color="auto" w:fill="auto"/>
            <w:noWrap/>
            <w:vAlign w:val="bottom"/>
            <w:hideMark/>
          </w:tcPr>
          <w:p w14:paraId="620D8A8E" w14:textId="77777777" w:rsidR="001F27DD" w:rsidRPr="0095004E" w:rsidRDefault="001F27DD" w:rsidP="006D2DA3">
            <w:pPr>
              <w:jc w:val="right"/>
              <w:rPr>
                <w:color w:val="000000"/>
                <w:sz w:val="20"/>
                <w:szCs w:val="20"/>
              </w:rPr>
            </w:pPr>
            <w:r w:rsidRPr="0095004E">
              <w:rPr>
                <w:color w:val="000000"/>
                <w:sz w:val="20"/>
                <w:szCs w:val="20"/>
              </w:rPr>
              <w:t>1.895</w:t>
            </w:r>
          </w:p>
        </w:tc>
        <w:tc>
          <w:tcPr>
            <w:tcW w:w="1540" w:type="dxa"/>
            <w:tcBorders>
              <w:top w:val="nil"/>
              <w:left w:val="nil"/>
              <w:bottom w:val="nil"/>
              <w:right w:val="nil"/>
            </w:tcBorders>
            <w:shd w:val="clear" w:color="auto" w:fill="auto"/>
            <w:noWrap/>
            <w:vAlign w:val="bottom"/>
            <w:hideMark/>
          </w:tcPr>
          <w:p w14:paraId="3C8951D0" w14:textId="77777777" w:rsidR="001F27DD" w:rsidRPr="0095004E" w:rsidRDefault="001F27DD" w:rsidP="006D2DA3">
            <w:pPr>
              <w:jc w:val="right"/>
              <w:rPr>
                <w:color w:val="000000"/>
                <w:sz w:val="20"/>
                <w:szCs w:val="20"/>
              </w:rPr>
            </w:pPr>
            <w:r w:rsidRPr="0095004E">
              <w:rPr>
                <w:color w:val="000000"/>
                <w:sz w:val="20"/>
                <w:szCs w:val="20"/>
              </w:rPr>
              <w:t>0.52</w:t>
            </w:r>
          </w:p>
        </w:tc>
        <w:tc>
          <w:tcPr>
            <w:tcW w:w="1300" w:type="dxa"/>
            <w:tcBorders>
              <w:top w:val="nil"/>
              <w:left w:val="nil"/>
              <w:bottom w:val="nil"/>
              <w:right w:val="nil"/>
            </w:tcBorders>
            <w:shd w:val="clear" w:color="auto" w:fill="auto"/>
            <w:noWrap/>
            <w:vAlign w:val="bottom"/>
            <w:hideMark/>
          </w:tcPr>
          <w:p w14:paraId="7B146570" w14:textId="77777777" w:rsidR="001F27DD" w:rsidRPr="0095004E" w:rsidRDefault="001F27DD" w:rsidP="006D2DA3">
            <w:pPr>
              <w:jc w:val="right"/>
              <w:rPr>
                <w:color w:val="000000"/>
                <w:sz w:val="20"/>
                <w:szCs w:val="20"/>
              </w:rPr>
            </w:pPr>
            <w:r w:rsidRPr="0095004E">
              <w:rPr>
                <w:color w:val="000000"/>
                <w:sz w:val="20"/>
                <w:szCs w:val="20"/>
              </w:rPr>
              <w:t>-0.345</w:t>
            </w:r>
          </w:p>
        </w:tc>
        <w:tc>
          <w:tcPr>
            <w:tcW w:w="1540" w:type="dxa"/>
            <w:tcBorders>
              <w:top w:val="nil"/>
              <w:left w:val="nil"/>
              <w:bottom w:val="nil"/>
              <w:right w:val="nil"/>
            </w:tcBorders>
            <w:shd w:val="clear" w:color="auto" w:fill="auto"/>
            <w:noWrap/>
            <w:vAlign w:val="bottom"/>
            <w:hideMark/>
          </w:tcPr>
          <w:p w14:paraId="58846176" w14:textId="77777777" w:rsidR="001F27DD" w:rsidRPr="0095004E" w:rsidRDefault="001F27DD" w:rsidP="006D2DA3">
            <w:pPr>
              <w:jc w:val="right"/>
              <w:rPr>
                <w:color w:val="000000"/>
                <w:sz w:val="20"/>
                <w:szCs w:val="20"/>
              </w:rPr>
            </w:pPr>
            <w:r w:rsidRPr="0095004E">
              <w:rPr>
                <w:color w:val="000000"/>
                <w:sz w:val="20"/>
                <w:szCs w:val="20"/>
              </w:rPr>
              <w:t>1.795</w:t>
            </w:r>
          </w:p>
        </w:tc>
      </w:tr>
      <w:tr w:rsidR="001F27DD" w:rsidRPr="00F30121" w14:paraId="3616E81D" w14:textId="77777777" w:rsidTr="006D2DA3">
        <w:trPr>
          <w:trHeight w:val="320"/>
        </w:trPr>
        <w:tc>
          <w:tcPr>
            <w:tcW w:w="2580" w:type="dxa"/>
            <w:tcBorders>
              <w:top w:val="nil"/>
              <w:left w:val="nil"/>
              <w:bottom w:val="nil"/>
              <w:right w:val="nil"/>
            </w:tcBorders>
            <w:shd w:val="clear" w:color="auto" w:fill="auto"/>
            <w:noWrap/>
            <w:vAlign w:val="bottom"/>
            <w:hideMark/>
          </w:tcPr>
          <w:p w14:paraId="1B499C68" w14:textId="77777777" w:rsidR="001F27DD" w:rsidRPr="0095004E" w:rsidRDefault="001F27DD" w:rsidP="006D2DA3">
            <w:pPr>
              <w:rPr>
                <w:color w:val="000000"/>
                <w:sz w:val="20"/>
                <w:szCs w:val="20"/>
              </w:rPr>
            </w:pPr>
            <w:r w:rsidRPr="0095004E">
              <w:rPr>
                <w:color w:val="000000"/>
                <w:sz w:val="20"/>
                <w:szCs w:val="20"/>
              </w:rPr>
              <w:t>Mode</w:t>
            </w:r>
          </w:p>
        </w:tc>
        <w:tc>
          <w:tcPr>
            <w:tcW w:w="1580" w:type="dxa"/>
            <w:tcBorders>
              <w:top w:val="nil"/>
              <w:left w:val="nil"/>
              <w:bottom w:val="nil"/>
              <w:right w:val="nil"/>
            </w:tcBorders>
            <w:shd w:val="clear" w:color="auto" w:fill="auto"/>
            <w:noWrap/>
            <w:vAlign w:val="bottom"/>
            <w:hideMark/>
          </w:tcPr>
          <w:p w14:paraId="720204D7" w14:textId="77777777" w:rsidR="001F27DD" w:rsidRPr="0095004E" w:rsidRDefault="001F27DD" w:rsidP="006D2DA3">
            <w:pPr>
              <w:jc w:val="right"/>
              <w:rPr>
                <w:color w:val="000000"/>
                <w:sz w:val="20"/>
                <w:szCs w:val="20"/>
              </w:rPr>
            </w:pPr>
            <w:r w:rsidRPr="0095004E">
              <w:rPr>
                <w:color w:val="000000"/>
                <w:sz w:val="20"/>
                <w:szCs w:val="20"/>
              </w:rPr>
              <w:t>4.51</w:t>
            </w:r>
          </w:p>
        </w:tc>
        <w:tc>
          <w:tcPr>
            <w:tcW w:w="1540" w:type="dxa"/>
            <w:tcBorders>
              <w:top w:val="nil"/>
              <w:left w:val="nil"/>
              <w:bottom w:val="nil"/>
              <w:right w:val="nil"/>
            </w:tcBorders>
            <w:shd w:val="clear" w:color="auto" w:fill="auto"/>
            <w:noWrap/>
            <w:vAlign w:val="bottom"/>
            <w:hideMark/>
          </w:tcPr>
          <w:p w14:paraId="52809BBF" w14:textId="77777777" w:rsidR="001F27DD" w:rsidRPr="0095004E" w:rsidRDefault="001F27DD" w:rsidP="006D2DA3">
            <w:pPr>
              <w:jc w:val="right"/>
              <w:rPr>
                <w:color w:val="000000"/>
                <w:sz w:val="20"/>
                <w:szCs w:val="20"/>
              </w:rPr>
            </w:pPr>
            <w:r w:rsidRPr="0095004E">
              <w:rPr>
                <w:color w:val="000000"/>
                <w:sz w:val="20"/>
                <w:szCs w:val="20"/>
              </w:rPr>
              <w:t>0.47</w:t>
            </w:r>
          </w:p>
        </w:tc>
        <w:tc>
          <w:tcPr>
            <w:tcW w:w="1300" w:type="dxa"/>
            <w:tcBorders>
              <w:top w:val="nil"/>
              <w:left w:val="nil"/>
              <w:bottom w:val="nil"/>
              <w:right w:val="nil"/>
            </w:tcBorders>
            <w:shd w:val="clear" w:color="auto" w:fill="auto"/>
            <w:noWrap/>
            <w:vAlign w:val="bottom"/>
            <w:hideMark/>
          </w:tcPr>
          <w:p w14:paraId="2AE3E11B" w14:textId="77777777" w:rsidR="001F27DD" w:rsidRPr="0095004E" w:rsidRDefault="001F27DD" w:rsidP="006D2DA3">
            <w:pPr>
              <w:jc w:val="right"/>
              <w:rPr>
                <w:color w:val="000000"/>
                <w:sz w:val="20"/>
                <w:szCs w:val="20"/>
              </w:rPr>
            </w:pPr>
            <w:r w:rsidRPr="0095004E">
              <w:rPr>
                <w:color w:val="000000"/>
                <w:sz w:val="20"/>
                <w:szCs w:val="20"/>
              </w:rPr>
              <w:t>0.79</w:t>
            </w:r>
          </w:p>
        </w:tc>
        <w:tc>
          <w:tcPr>
            <w:tcW w:w="1540" w:type="dxa"/>
            <w:tcBorders>
              <w:top w:val="nil"/>
              <w:left w:val="nil"/>
              <w:bottom w:val="nil"/>
              <w:right w:val="nil"/>
            </w:tcBorders>
            <w:shd w:val="clear" w:color="auto" w:fill="auto"/>
            <w:noWrap/>
            <w:vAlign w:val="bottom"/>
            <w:hideMark/>
          </w:tcPr>
          <w:p w14:paraId="033F7FCF" w14:textId="77777777" w:rsidR="001F27DD" w:rsidRPr="0095004E" w:rsidRDefault="001F27DD" w:rsidP="006D2DA3">
            <w:pPr>
              <w:jc w:val="right"/>
              <w:rPr>
                <w:color w:val="000000"/>
                <w:sz w:val="20"/>
                <w:szCs w:val="20"/>
              </w:rPr>
            </w:pPr>
            <w:r w:rsidRPr="0095004E">
              <w:rPr>
                <w:color w:val="000000"/>
                <w:sz w:val="20"/>
                <w:szCs w:val="20"/>
              </w:rPr>
              <w:t>2.85</w:t>
            </w:r>
          </w:p>
        </w:tc>
      </w:tr>
      <w:tr w:rsidR="001F27DD" w:rsidRPr="00F30121" w14:paraId="340955F4" w14:textId="77777777" w:rsidTr="006D2DA3">
        <w:trPr>
          <w:trHeight w:val="320"/>
        </w:trPr>
        <w:tc>
          <w:tcPr>
            <w:tcW w:w="2580" w:type="dxa"/>
            <w:tcBorders>
              <w:top w:val="nil"/>
              <w:left w:val="nil"/>
              <w:bottom w:val="nil"/>
              <w:right w:val="nil"/>
            </w:tcBorders>
            <w:shd w:val="clear" w:color="auto" w:fill="auto"/>
            <w:noWrap/>
            <w:vAlign w:val="bottom"/>
            <w:hideMark/>
          </w:tcPr>
          <w:p w14:paraId="27D3780E" w14:textId="77777777" w:rsidR="001F27DD" w:rsidRPr="0095004E" w:rsidRDefault="001F27DD" w:rsidP="006D2DA3">
            <w:pPr>
              <w:rPr>
                <w:color w:val="000000"/>
                <w:sz w:val="20"/>
                <w:szCs w:val="20"/>
              </w:rPr>
            </w:pPr>
            <w:r w:rsidRPr="0095004E">
              <w:rPr>
                <w:color w:val="000000"/>
                <w:sz w:val="20"/>
                <w:szCs w:val="20"/>
              </w:rPr>
              <w:lastRenderedPageBreak/>
              <w:t>Standard Deviation</w:t>
            </w:r>
          </w:p>
        </w:tc>
        <w:tc>
          <w:tcPr>
            <w:tcW w:w="1580" w:type="dxa"/>
            <w:tcBorders>
              <w:top w:val="nil"/>
              <w:left w:val="nil"/>
              <w:bottom w:val="nil"/>
              <w:right w:val="nil"/>
            </w:tcBorders>
            <w:shd w:val="clear" w:color="auto" w:fill="auto"/>
            <w:noWrap/>
            <w:vAlign w:val="bottom"/>
            <w:hideMark/>
          </w:tcPr>
          <w:p w14:paraId="76B1818E" w14:textId="77777777" w:rsidR="001F27DD" w:rsidRPr="0095004E" w:rsidRDefault="001F27DD" w:rsidP="006D2DA3">
            <w:pPr>
              <w:jc w:val="right"/>
              <w:rPr>
                <w:color w:val="000000"/>
                <w:sz w:val="20"/>
                <w:szCs w:val="20"/>
              </w:rPr>
            </w:pPr>
            <w:r w:rsidRPr="0095004E">
              <w:rPr>
                <w:color w:val="000000"/>
                <w:sz w:val="20"/>
                <w:szCs w:val="20"/>
              </w:rPr>
              <w:t>6.449272412</w:t>
            </w:r>
          </w:p>
        </w:tc>
        <w:tc>
          <w:tcPr>
            <w:tcW w:w="1540" w:type="dxa"/>
            <w:tcBorders>
              <w:top w:val="nil"/>
              <w:left w:val="nil"/>
              <w:bottom w:val="nil"/>
              <w:right w:val="nil"/>
            </w:tcBorders>
            <w:shd w:val="clear" w:color="auto" w:fill="auto"/>
            <w:noWrap/>
            <w:vAlign w:val="bottom"/>
            <w:hideMark/>
          </w:tcPr>
          <w:p w14:paraId="12C427F0" w14:textId="77777777" w:rsidR="001F27DD" w:rsidRPr="0095004E" w:rsidRDefault="001F27DD" w:rsidP="006D2DA3">
            <w:pPr>
              <w:jc w:val="right"/>
              <w:rPr>
                <w:color w:val="000000"/>
                <w:sz w:val="20"/>
                <w:szCs w:val="20"/>
              </w:rPr>
            </w:pPr>
            <w:r w:rsidRPr="0095004E">
              <w:rPr>
                <w:color w:val="000000"/>
                <w:sz w:val="20"/>
                <w:szCs w:val="20"/>
              </w:rPr>
              <w:t>2.170203541</w:t>
            </w:r>
          </w:p>
        </w:tc>
        <w:tc>
          <w:tcPr>
            <w:tcW w:w="1300" w:type="dxa"/>
            <w:tcBorders>
              <w:top w:val="nil"/>
              <w:left w:val="nil"/>
              <w:bottom w:val="nil"/>
              <w:right w:val="nil"/>
            </w:tcBorders>
            <w:shd w:val="clear" w:color="auto" w:fill="auto"/>
            <w:noWrap/>
            <w:vAlign w:val="bottom"/>
            <w:hideMark/>
          </w:tcPr>
          <w:p w14:paraId="0A3CE5B4" w14:textId="77777777" w:rsidR="001F27DD" w:rsidRPr="0095004E" w:rsidRDefault="001F27DD" w:rsidP="006D2DA3">
            <w:pPr>
              <w:jc w:val="right"/>
              <w:rPr>
                <w:color w:val="000000"/>
                <w:sz w:val="20"/>
                <w:szCs w:val="20"/>
              </w:rPr>
            </w:pPr>
            <w:r w:rsidRPr="0095004E">
              <w:rPr>
                <w:color w:val="000000"/>
                <w:sz w:val="20"/>
                <w:szCs w:val="20"/>
              </w:rPr>
              <w:t>4.20399376</w:t>
            </w:r>
          </w:p>
        </w:tc>
        <w:tc>
          <w:tcPr>
            <w:tcW w:w="1540" w:type="dxa"/>
            <w:tcBorders>
              <w:top w:val="nil"/>
              <w:left w:val="nil"/>
              <w:bottom w:val="nil"/>
              <w:right w:val="nil"/>
            </w:tcBorders>
            <w:shd w:val="clear" w:color="auto" w:fill="auto"/>
            <w:noWrap/>
            <w:vAlign w:val="bottom"/>
            <w:hideMark/>
          </w:tcPr>
          <w:p w14:paraId="5D44D0C1" w14:textId="77777777" w:rsidR="001F27DD" w:rsidRPr="0095004E" w:rsidRDefault="001F27DD" w:rsidP="006D2DA3">
            <w:pPr>
              <w:jc w:val="right"/>
              <w:rPr>
                <w:color w:val="000000"/>
                <w:sz w:val="20"/>
                <w:szCs w:val="20"/>
              </w:rPr>
            </w:pPr>
            <w:r w:rsidRPr="0095004E">
              <w:rPr>
                <w:color w:val="000000"/>
                <w:sz w:val="20"/>
                <w:szCs w:val="20"/>
              </w:rPr>
              <w:t>6.449375694</w:t>
            </w:r>
          </w:p>
        </w:tc>
      </w:tr>
      <w:tr w:rsidR="001F27DD" w:rsidRPr="00F30121" w14:paraId="6E598D04" w14:textId="77777777" w:rsidTr="006D2DA3">
        <w:trPr>
          <w:trHeight w:val="320"/>
        </w:trPr>
        <w:tc>
          <w:tcPr>
            <w:tcW w:w="2580" w:type="dxa"/>
            <w:tcBorders>
              <w:top w:val="nil"/>
              <w:left w:val="nil"/>
              <w:bottom w:val="nil"/>
              <w:right w:val="nil"/>
            </w:tcBorders>
            <w:shd w:val="clear" w:color="auto" w:fill="auto"/>
            <w:noWrap/>
            <w:vAlign w:val="bottom"/>
            <w:hideMark/>
          </w:tcPr>
          <w:p w14:paraId="6533434F" w14:textId="77777777" w:rsidR="001F27DD" w:rsidRPr="0095004E" w:rsidRDefault="001F27DD" w:rsidP="006D2DA3">
            <w:pPr>
              <w:rPr>
                <w:color w:val="000000"/>
                <w:sz w:val="20"/>
                <w:szCs w:val="20"/>
              </w:rPr>
            </w:pPr>
            <w:r w:rsidRPr="0095004E">
              <w:rPr>
                <w:color w:val="000000"/>
                <w:sz w:val="20"/>
                <w:szCs w:val="20"/>
              </w:rPr>
              <w:t>Sample Variance</w:t>
            </w:r>
          </w:p>
        </w:tc>
        <w:tc>
          <w:tcPr>
            <w:tcW w:w="1580" w:type="dxa"/>
            <w:tcBorders>
              <w:top w:val="nil"/>
              <w:left w:val="nil"/>
              <w:bottom w:val="nil"/>
              <w:right w:val="nil"/>
            </w:tcBorders>
            <w:shd w:val="clear" w:color="auto" w:fill="auto"/>
            <w:noWrap/>
            <w:vAlign w:val="bottom"/>
            <w:hideMark/>
          </w:tcPr>
          <w:p w14:paraId="7AAA2D73" w14:textId="77777777" w:rsidR="001F27DD" w:rsidRPr="0095004E" w:rsidRDefault="001F27DD" w:rsidP="006D2DA3">
            <w:pPr>
              <w:jc w:val="right"/>
              <w:rPr>
                <w:color w:val="000000"/>
                <w:sz w:val="20"/>
                <w:szCs w:val="20"/>
              </w:rPr>
            </w:pPr>
            <w:r w:rsidRPr="0095004E">
              <w:rPr>
                <w:color w:val="000000"/>
                <w:sz w:val="20"/>
                <w:szCs w:val="20"/>
              </w:rPr>
              <w:t>41.59311464</w:t>
            </w:r>
          </w:p>
        </w:tc>
        <w:tc>
          <w:tcPr>
            <w:tcW w:w="1540" w:type="dxa"/>
            <w:tcBorders>
              <w:top w:val="nil"/>
              <w:left w:val="nil"/>
              <w:bottom w:val="nil"/>
              <w:right w:val="nil"/>
            </w:tcBorders>
            <w:shd w:val="clear" w:color="auto" w:fill="auto"/>
            <w:noWrap/>
            <w:vAlign w:val="bottom"/>
            <w:hideMark/>
          </w:tcPr>
          <w:p w14:paraId="6D9E895D" w14:textId="77777777" w:rsidR="001F27DD" w:rsidRPr="0095004E" w:rsidRDefault="001F27DD" w:rsidP="006D2DA3">
            <w:pPr>
              <w:jc w:val="right"/>
              <w:rPr>
                <w:color w:val="000000"/>
                <w:sz w:val="20"/>
                <w:szCs w:val="20"/>
              </w:rPr>
            </w:pPr>
            <w:r w:rsidRPr="0095004E">
              <w:rPr>
                <w:color w:val="000000"/>
                <w:sz w:val="20"/>
                <w:szCs w:val="20"/>
              </w:rPr>
              <w:t>4.70978341</w:t>
            </w:r>
          </w:p>
        </w:tc>
        <w:tc>
          <w:tcPr>
            <w:tcW w:w="1300" w:type="dxa"/>
            <w:tcBorders>
              <w:top w:val="nil"/>
              <w:left w:val="nil"/>
              <w:bottom w:val="nil"/>
              <w:right w:val="nil"/>
            </w:tcBorders>
            <w:shd w:val="clear" w:color="auto" w:fill="auto"/>
            <w:noWrap/>
            <w:vAlign w:val="bottom"/>
            <w:hideMark/>
          </w:tcPr>
          <w:p w14:paraId="7608A6E6" w14:textId="77777777" w:rsidR="001F27DD" w:rsidRPr="0095004E" w:rsidRDefault="001F27DD" w:rsidP="006D2DA3">
            <w:pPr>
              <w:jc w:val="right"/>
              <w:rPr>
                <w:color w:val="000000"/>
                <w:sz w:val="20"/>
                <w:szCs w:val="20"/>
              </w:rPr>
            </w:pPr>
            <w:r w:rsidRPr="0095004E">
              <w:rPr>
                <w:color w:val="000000"/>
                <w:sz w:val="20"/>
                <w:szCs w:val="20"/>
              </w:rPr>
              <w:t>17.6735635</w:t>
            </w:r>
          </w:p>
        </w:tc>
        <w:tc>
          <w:tcPr>
            <w:tcW w:w="1540" w:type="dxa"/>
            <w:tcBorders>
              <w:top w:val="nil"/>
              <w:left w:val="nil"/>
              <w:bottom w:val="nil"/>
              <w:right w:val="nil"/>
            </w:tcBorders>
            <w:shd w:val="clear" w:color="auto" w:fill="auto"/>
            <w:noWrap/>
            <w:vAlign w:val="bottom"/>
            <w:hideMark/>
          </w:tcPr>
          <w:p w14:paraId="44F7B7F8" w14:textId="77777777" w:rsidR="001F27DD" w:rsidRPr="0095004E" w:rsidRDefault="001F27DD" w:rsidP="006D2DA3">
            <w:pPr>
              <w:jc w:val="right"/>
              <w:rPr>
                <w:color w:val="000000"/>
                <w:sz w:val="20"/>
                <w:szCs w:val="20"/>
              </w:rPr>
            </w:pPr>
            <w:r w:rsidRPr="0095004E">
              <w:rPr>
                <w:color w:val="000000"/>
                <w:sz w:val="20"/>
                <w:szCs w:val="20"/>
              </w:rPr>
              <w:t>41.59444684</w:t>
            </w:r>
          </w:p>
        </w:tc>
      </w:tr>
      <w:tr w:rsidR="001F27DD" w:rsidRPr="00F30121" w14:paraId="03A8B991" w14:textId="77777777" w:rsidTr="006D2DA3">
        <w:trPr>
          <w:trHeight w:val="320"/>
        </w:trPr>
        <w:tc>
          <w:tcPr>
            <w:tcW w:w="2580" w:type="dxa"/>
            <w:tcBorders>
              <w:top w:val="nil"/>
              <w:left w:val="nil"/>
              <w:bottom w:val="nil"/>
              <w:right w:val="nil"/>
            </w:tcBorders>
            <w:shd w:val="clear" w:color="auto" w:fill="auto"/>
            <w:noWrap/>
            <w:vAlign w:val="bottom"/>
            <w:hideMark/>
          </w:tcPr>
          <w:p w14:paraId="7C83D02E" w14:textId="77777777" w:rsidR="001F27DD" w:rsidRPr="0095004E" w:rsidRDefault="001F27DD" w:rsidP="006D2DA3">
            <w:pPr>
              <w:rPr>
                <w:color w:val="000000"/>
                <w:sz w:val="20"/>
                <w:szCs w:val="20"/>
              </w:rPr>
            </w:pPr>
            <w:r w:rsidRPr="0095004E">
              <w:rPr>
                <w:color w:val="000000"/>
                <w:sz w:val="20"/>
                <w:szCs w:val="20"/>
              </w:rPr>
              <w:t>Kurtosis</w:t>
            </w:r>
          </w:p>
        </w:tc>
        <w:tc>
          <w:tcPr>
            <w:tcW w:w="1580" w:type="dxa"/>
            <w:tcBorders>
              <w:top w:val="nil"/>
              <w:left w:val="nil"/>
              <w:bottom w:val="nil"/>
              <w:right w:val="nil"/>
            </w:tcBorders>
            <w:shd w:val="clear" w:color="auto" w:fill="auto"/>
            <w:noWrap/>
            <w:vAlign w:val="bottom"/>
            <w:hideMark/>
          </w:tcPr>
          <w:p w14:paraId="67D66D1E" w14:textId="77777777" w:rsidR="001F27DD" w:rsidRPr="0095004E" w:rsidRDefault="001F27DD" w:rsidP="006D2DA3">
            <w:pPr>
              <w:jc w:val="right"/>
              <w:rPr>
                <w:color w:val="000000"/>
                <w:sz w:val="20"/>
                <w:szCs w:val="20"/>
              </w:rPr>
            </w:pPr>
            <w:r w:rsidRPr="0095004E">
              <w:rPr>
                <w:color w:val="000000"/>
                <w:sz w:val="20"/>
                <w:szCs w:val="20"/>
              </w:rPr>
              <w:t>6.509034754</w:t>
            </w:r>
          </w:p>
        </w:tc>
        <w:tc>
          <w:tcPr>
            <w:tcW w:w="1540" w:type="dxa"/>
            <w:tcBorders>
              <w:top w:val="nil"/>
              <w:left w:val="nil"/>
              <w:bottom w:val="nil"/>
              <w:right w:val="nil"/>
            </w:tcBorders>
            <w:shd w:val="clear" w:color="auto" w:fill="auto"/>
            <w:noWrap/>
            <w:vAlign w:val="bottom"/>
            <w:hideMark/>
          </w:tcPr>
          <w:p w14:paraId="28251435" w14:textId="77777777" w:rsidR="001F27DD" w:rsidRPr="0095004E" w:rsidRDefault="001F27DD" w:rsidP="006D2DA3">
            <w:pPr>
              <w:jc w:val="right"/>
              <w:rPr>
                <w:color w:val="000000"/>
                <w:sz w:val="20"/>
                <w:szCs w:val="20"/>
              </w:rPr>
            </w:pPr>
            <w:r w:rsidRPr="0095004E">
              <w:rPr>
                <w:color w:val="000000"/>
                <w:sz w:val="20"/>
                <w:szCs w:val="20"/>
              </w:rPr>
              <w:t>1.283061966</w:t>
            </w:r>
          </w:p>
        </w:tc>
        <w:tc>
          <w:tcPr>
            <w:tcW w:w="1300" w:type="dxa"/>
            <w:tcBorders>
              <w:top w:val="nil"/>
              <w:left w:val="nil"/>
              <w:bottom w:val="nil"/>
              <w:right w:val="nil"/>
            </w:tcBorders>
            <w:shd w:val="clear" w:color="auto" w:fill="auto"/>
            <w:noWrap/>
            <w:vAlign w:val="bottom"/>
            <w:hideMark/>
          </w:tcPr>
          <w:p w14:paraId="3184F5D8" w14:textId="77777777" w:rsidR="001F27DD" w:rsidRPr="0095004E" w:rsidRDefault="001F27DD" w:rsidP="006D2DA3">
            <w:pPr>
              <w:jc w:val="right"/>
              <w:rPr>
                <w:color w:val="000000"/>
                <w:sz w:val="20"/>
                <w:szCs w:val="20"/>
              </w:rPr>
            </w:pPr>
            <w:r w:rsidRPr="0095004E">
              <w:rPr>
                <w:color w:val="000000"/>
                <w:sz w:val="20"/>
                <w:szCs w:val="20"/>
              </w:rPr>
              <w:t>5.2761953</w:t>
            </w:r>
          </w:p>
        </w:tc>
        <w:tc>
          <w:tcPr>
            <w:tcW w:w="1540" w:type="dxa"/>
            <w:tcBorders>
              <w:top w:val="nil"/>
              <w:left w:val="nil"/>
              <w:bottom w:val="nil"/>
              <w:right w:val="nil"/>
            </w:tcBorders>
            <w:shd w:val="clear" w:color="auto" w:fill="auto"/>
            <w:noWrap/>
            <w:vAlign w:val="bottom"/>
            <w:hideMark/>
          </w:tcPr>
          <w:p w14:paraId="54D828F9" w14:textId="77777777" w:rsidR="001F27DD" w:rsidRPr="0095004E" w:rsidRDefault="001F27DD" w:rsidP="006D2DA3">
            <w:pPr>
              <w:jc w:val="right"/>
              <w:rPr>
                <w:color w:val="000000"/>
                <w:sz w:val="20"/>
                <w:szCs w:val="20"/>
              </w:rPr>
            </w:pPr>
            <w:r w:rsidRPr="0095004E">
              <w:rPr>
                <w:color w:val="000000"/>
                <w:sz w:val="20"/>
                <w:szCs w:val="20"/>
              </w:rPr>
              <w:t>6.583655182</w:t>
            </w:r>
          </w:p>
        </w:tc>
      </w:tr>
      <w:tr w:rsidR="001F27DD" w:rsidRPr="00F30121" w14:paraId="732160CB" w14:textId="77777777" w:rsidTr="006D2DA3">
        <w:trPr>
          <w:trHeight w:val="320"/>
        </w:trPr>
        <w:tc>
          <w:tcPr>
            <w:tcW w:w="2580" w:type="dxa"/>
            <w:tcBorders>
              <w:top w:val="nil"/>
              <w:left w:val="nil"/>
              <w:bottom w:val="nil"/>
              <w:right w:val="nil"/>
            </w:tcBorders>
            <w:shd w:val="clear" w:color="auto" w:fill="auto"/>
            <w:noWrap/>
            <w:vAlign w:val="bottom"/>
            <w:hideMark/>
          </w:tcPr>
          <w:p w14:paraId="7AE3B2BC" w14:textId="77777777" w:rsidR="001F27DD" w:rsidRPr="0095004E" w:rsidRDefault="001F27DD" w:rsidP="006D2DA3">
            <w:pPr>
              <w:rPr>
                <w:color w:val="000000"/>
                <w:sz w:val="20"/>
                <w:szCs w:val="20"/>
              </w:rPr>
            </w:pPr>
            <w:r w:rsidRPr="0095004E">
              <w:rPr>
                <w:color w:val="000000"/>
                <w:sz w:val="20"/>
                <w:szCs w:val="20"/>
              </w:rPr>
              <w:t>Skewness</w:t>
            </w:r>
          </w:p>
        </w:tc>
        <w:tc>
          <w:tcPr>
            <w:tcW w:w="1580" w:type="dxa"/>
            <w:tcBorders>
              <w:top w:val="nil"/>
              <w:left w:val="nil"/>
              <w:bottom w:val="nil"/>
              <w:right w:val="nil"/>
            </w:tcBorders>
            <w:shd w:val="clear" w:color="auto" w:fill="auto"/>
            <w:noWrap/>
            <w:vAlign w:val="bottom"/>
            <w:hideMark/>
          </w:tcPr>
          <w:p w14:paraId="0C4CC5F2" w14:textId="77777777" w:rsidR="001F27DD" w:rsidRPr="0095004E" w:rsidRDefault="001F27DD" w:rsidP="006D2DA3">
            <w:pPr>
              <w:jc w:val="right"/>
              <w:rPr>
                <w:color w:val="000000"/>
                <w:sz w:val="20"/>
                <w:szCs w:val="20"/>
              </w:rPr>
            </w:pPr>
            <w:r w:rsidRPr="0095004E">
              <w:rPr>
                <w:color w:val="000000"/>
                <w:sz w:val="20"/>
                <w:szCs w:val="20"/>
              </w:rPr>
              <w:t>-0.094373429</w:t>
            </w:r>
          </w:p>
        </w:tc>
        <w:tc>
          <w:tcPr>
            <w:tcW w:w="1540" w:type="dxa"/>
            <w:tcBorders>
              <w:top w:val="nil"/>
              <w:left w:val="nil"/>
              <w:bottom w:val="nil"/>
              <w:right w:val="nil"/>
            </w:tcBorders>
            <w:shd w:val="clear" w:color="auto" w:fill="auto"/>
            <w:noWrap/>
            <w:vAlign w:val="bottom"/>
            <w:hideMark/>
          </w:tcPr>
          <w:p w14:paraId="78527AE6" w14:textId="77777777" w:rsidR="001F27DD" w:rsidRPr="0095004E" w:rsidRDefault="001F27DD" w:rsidP="006D2DA3">
            <w:pPr>
              <w:jc w:val="right"/>
              <w:rPr>
                <w:color w:val="000000"/>
                <w:sz w:val="20"/>
                <w:szCs w:val="20"/>
              </w:rPr>
            </w:pPr>
            <w:r w:rsidRPr="0095004E">
              <w:rPr>
                <w:color w:val="000000"/>
                <w:sz w:val="20"/>
                <w:szCs w:val="20"/>
              </w:rPr>
              <w:t>0.139797693</w:t>
            </w:r>
          </w:p>
        </w:tc>
        <w:tc>
          <w:tcPr>
            <w:tcW w:w="1300" w:type="dxa"/>
            <w:tcBorders>
              <w:top w:val="nil"/>
              <w:left w:val="nil"/>
              <w:bottom w:val="nil"/>
              <w:right w:val="nil"/>
            </w:tcBorders>
            <w:shd w:val="clear" w:color="auto" w:fill="auto"/>
            <w:noWrap/>
            <w:vAlign w:val="bottom"/>
            <w:hideMark/>
          </w:tcPr>
          <w:p w14:paraId="0F41CD48" w14:textId="77777777" w:rsidR="001F27DD" w:rsidRPr="0095004E" w:rsidRDefault="001F27DD" w:rsidP="006D2DA3">
            <w:pPr>
              <w:jc w:val="right"/>
              <w:rPr>
                <w:color w:val="000000"/>
                <w:sz w:val="20"/>
                <w:szCs w:val="20"/>
              </w:rPr>
            </w:pPr>
            <w:r w:rsidRPr="0095004E">
              <w:rPr>
                <w:color w:val="000000"/>
                <w:sz w:val="20"/>
                <w:szCs w:val="20"/>
              </w:rPr>
              <w:t>1.47389463</w:t>
            </w:r>
          </w:p>
        </w:tc>
        <w:tc>
          <w:tcPr>
            <w:tcW w:w="1540" w:type="dxa"/>
            <w:tcBorders>
              <w:top w:val="nil"/>
              <w:left w:val="nil"/>
              <w:bottom w:val="nil"/>
              <w:right w:val="nil"/>
            </w:tcBorders>
            <w:shd w:val="clear" w:color="auto" w:fill="auto"/>
            <w:noWrap/>
            <w:vAlign w:val="bottom"/>
            <w:hideMark/>
          </w:tcPr>
          <w:p w14:paraId="6A6D0338" w14:textId="77777777" w:rsidR="001F27DD" w:rsidRPr="0095004E" w:rsidRDefault="001F27DD" w:rsidP="006D2DA3">
            <w:pPr>
              <w:jc w:val="right"/>
              <w:rPr>
                <w:color w:val="000000"/>
                <w:sz w:val="20"/>
                <w:szCs w:val="20"/>
              </w:rPr>
            </w:pPr>
            <w:r w:rsidRPr="0095004E">
              <w:rPr>
                <w:color w:val="000000"/>
                <w:sz w:val="20"/>
                <w:szCs w:val="20"/>
              </w:rPr>
              <w:t>-0.084903964</w:t>
            </w:r>
          </w:p>
        </w:tc>
      </w:tr>
      <w:tr w:rsidR="001F27DD" w:rsidRPr="00F30121" w14:paraId="40E6B925" w14:textId="77777777" w:rsidTr="006D2DA3">
        <w:trPr>
          <w:trHeight w:val="320"/>
        </w:trPr>
        <w:tc>
          <w:tcPr>
            <w:tcW w:w="2580" w:type="dxa"/>
            <w:tcBorders>
              <w:top w:val="nil"/>
              <w:left w:val="nil"/>
              <w:bottom w:val="nil"/>
              <w:right w:val="nil"/>
            </w:tcBorders>
            <w:shd w:val="clear" w:color="auto" w:fill="auto"/>
            <w:noWrap/>
            <w:vAlign w:val="bottom"/>
            <w:hideMark/>
          </w:tcPr>
          <w:p w14:paraId="628B49B3" w14:textId="77777777" w:rsidR="001F27DD" w:rsidRPr="0095004E" w:rsidRDefault="001F27DD" w:rsidP="006D2DA3">
            <w:pPr>
              <w:rPr>
                <w:color w:val="000000"/>
                <w:sz w:val="20"/>
                <w:szCs w:val="20"/>
              </w:rPr>
            </w:pPr>
            <w:r w:rsidRPr="0095004E">
              <w:rPr>
                <w:color w:val="000000"/>
                <w:sz w:val="20"/>
                <w:szCs w:val="20"/>
              </w:rPr>
              <w:t>Range</w:t>
            </w:r>
          </w:p>
        </w:tc>
        <w:tc>
          <w:tcPr>
            <w:tcW w:w="1580" w:type="dxa"/>
            <w:tcBorders>
              <w:top w:val="nil"/>
              <w:left w:val="nil"/>
              <w:bottom w:val="nil"/>
              <w:right w:val="nil"/>
            </w:tcBorders>
            <w:shd w:val="clear" w:color="auto" w:fill="auto"/>
            <w:noWrap/>
            <w:vAlign w:val="bottom"/>
            <w:hideMark/>
          </w:tcPr>
          <w:p w14:paraId="14973EE8" w14:textId="77777777" w:rsidR="001F27DD" w:rsidRPr="0095004E" w:rsidRDefault="001F27DD" w:rsidP="006D2DA3">
            <w:pPr>
              <w:jc w:val="right"/>
              <w:rPr>
                <w:color w:val="000000"/>
                <w:sz w:val="20"/>
                <w:szCs w:val="20"/>
              </w:rPr>
            </w:pPr>
            <w:r w:rsidRPr="0095004E">
              <w:rPr>
                <w:color w:val="000000"/>
                <w:sz w:val="20"/>
                <w:szCs w:val="20"/>
              </w:rPr>
              <w:t>55.25</w:t>
            </w:r>
          </w:p>
        </w:tc>
        <w:tc>
          <w:tcPr>
            <w:tcW w:w="1540" w:type="dxa"/>
            <w:tcBorders>
              <w:top w:val="nil"/>
              <w:left w:val="nil"/>
              <w:bottom w:val="nil"/>
              <w:right w:val="nil"/>
            </w:tcBorders>
            <w:shd w:val="clear" w:color="auto" w:fill="auto"/>
            <w:noWrap/>
            <w:vAlign w:val="bottom"/>
            <w:hideMark/>
          </w:tcPr>
          <w:p w14:paraId="09550CD2" w14:textId="77777777" w:rsidR="001F27DD" w:rsidRPr="0095004E" w:rsidRDefault="001F27DD" w:rsidP="006D2DA3">
            <w:pPr>
              <w:jc w:val="right"/>
              <w:rPr>
                <w:color w:val="000000"/>
                <w:sz w:val="20"/>
                <w:szCs w:val="20"/>
              </w:rPr>
            </w:pPr>
            <w:r w:rsidRPr="0095004E">
              <w:rPr>
                <w:color w:val="000000"/>
                <w:sz w:val="20"/>
                <w:szCs w:val="20"/>
              </w:rPr>
              <w:t>13.08</w:t>
            </w:r>
          </w:p>
        </w:tc>
        <w:tc>
          <w:tcPr>
            <w:tcW w:w="1300" w:type="dxa"/>
            <w:tcBorders>
              <w:top w:val="nil"/>
              <w:left w:val="nil"/>
              <w:bottom w:val="nil"/>
              <w:right w:val="nil"/>
            </w:tcBorders>
            <w:shd w:val="clear" w:color="auto" w:fill="auto"/>
            <w:noWrap/>
            <w:vAlign w:val="bottom"/>
            <w:hideMark/>
          </w:tcPr>
          <w:p w14:paraId="1ED99328" w14:textId="77777777" w:rsidR="001F27DD" w:rsidRPr="0095004E" w:rsidRDefault="001F27DD" w:rsidP="006D2DA3">
            <w:pPr>
              <w:jc w:val="right"/>
              <w:rPr>
                <w:color w:val="000000"/>
                <w:sz w:val="20"/>
                <w:szCs w:val="20"/>
              </w:rPr>
            </w:pPr>
            <w:r w:rsidRPr="0095004E">
              <w:rPr>
                <w:color w:val="000000"/>
                <w:sz w:val="20"/>
                <w:szCs w:val="20"/>
              </w:rPr>
              <w:t>30.06</w:t>
            </w:r>
          </w:p>
        </w:tc>
        <w:tc>
          <w:tcPr>
            <w:tcW w:w="1540" w:type="dxa"/>
            <w:tcBorders>
              <w:top w:val="nil"/>
              <w:left w:val="nil"/>
              <w:bottom w:val="nil"/>
              <w:right w:val="nil"/>
            </w:tcBorders>
            <w:shd w:val="clear" w:color="auto" w:fill="auto"/>
            <w:noWrap/>
            <w:vAlign w:val="bottom"/>
            <w:hideMark/>
          </w:tcPr>
          <w:p w14:paraId="1BEF2838" w14:textId="77777777" w:rsidR="001F27DD" w:rsidRPr="0095004E" w:rsidRDefault="001F27DD" w:rsidP="006D2DA3">
            <w:pPr>
              <w:jc w:val="right"/>
              <w:rPr>
                <w:color w:val="000000"/>
                <w:sz w:val="20"/>
                <w:szCs w:val="20"/>
              </w:rPr>
            </w:pPr>
            <w:r w:rsidRPr="0095004E">
              <w:rPr>
                <w:color w:val="000000"/>
                <w:sz w:val="20"/>
                <w:szCs w:val="20"/>
              </w:rPr>
              <w:t>55.37</w:t>
            </w:r>
          </w:p>
        </w:tc>
      </w:tr>
      <w:tr w:rsidR="001F27DD" w:rsidRPr="00F30121" w14:paraId="3745B20E" w14:textId="77777777" w:rsidTr="006D2DA3">
        <w:trPr>
          <w:trHeight w:val="320"/>
        </w:trPr>
        <w:tc>
          <w:tcPr>
            <w:tcW w:w="2580" w:type="dxa"/>
            <w:tcBorders>
              <w:top w:val="nil"/>
              <w:left w:val="nil"/>
              <w:bottom w:val="nil"/>
              <w:right w:val="nil"/>
            </w:tcBorders>
            <w:shd w:val="clear" w:color="auto" w:fill="auto"/>
            <w:noWrap/>
            <w:vAlign w:val="bottom"/>
            <w:hideMark/>
          </w:tcPr>
          <w:p w14:paraId="6E59A13F" w14:textId="77777777" w:rsidR="001F27DD" w:rsidRPr="0095004E" w:rsidRDefault="001F27DD" w:rsidP="006D2DA3">
            <w:pPr>
              <w:rPr>
                <w:color w:val="000000"/>
                <w:sz w:val="20"/>
                <w:szCs w:val="20"/>
              </w:rPr>
            </w:pPr>
            <w:r w:rsidRPr="0095004E">
              <w:rPr>
                <w:color w:val="000000"/>
                <w:sz w:val="20"/>
                <w:szCs w:val="20"/>
              </w:rPr>
              <w:t>Minimum</w:t>
            </w:r>
          </w:p>
        </w:tc>
        <w:tc>
          <w:tcPr>
            <w:tcW w:w="1580" w:type="dxa"/>
            <w:tcBorders>
              <w:top w:val="nil"/>
              <w:left w:val="nil"/>
              <w:bottom w:val="nil"/>
              <w:right w:val="nil"/>
            </w:tcBorders>
            <w:shd w:val="clear" w:color="auto" w:fill="auto"/>
            <w:noWrap/>
            <w:vAlign w:val="bottom"/>
            <w:hideMark/>
          </w:tcPr>
          <w:p w14:paraId="7F8BE1CC" w14:textId="77777777" w:rsidR="001F27DD" w:rsidRPr="0095004E" w:rsidRDefault="001F27DD" w:rsidP="006D2DA3">
            <w:pPr>
              <w:jc w:val="right"/>
              <w:rPr>
                <w:color w:val="000000"/>
                <w:sz w:val="20"/>
                <w:szCs w:val="20"/>
              </w:rPr>
            </w:pPr>
            <w:r w:rsidRPr="0095004E">
              <w:rPr>
                <w:color w:val="000000"/>
                <w:sz w:val="20"/>
                <w:szCs w:val="20"/>
              </w:rPr>
              <w:t>-25.61</w:t>
            </w:r>
          </w:p>
        </w:tc>
        <w:tc>
          <w:tcPr>
            <w:tcW w:w="1540" w:type="dxa"/>
            <w:tcBorders>
              <w:top w:val="nil"/>
              <w:left w:val="nil"/>
              <w:bottom w:val="nil"/>
              <w:right w:val="nil"/>
            </w:tcBorders>
            <w:shd w:val="clear" w:color="auto" w:fill="auto"/>
            <w:noWrap/>
            <w:vAlign w:val="bottom"/>
            <w:hideMark/>
          </w:tcPr>
          <w:p w14:paraId="34624F50" w14:textId="77777777" w:rsidR="001F27DD" w:rsidRPr="0095004E" w:rsidRDefault="001F27DD" w:rsidP="006D2DA3">
            <w:pPr>
              <w:jc w:val="right"/>
              <w:rPr>
                <w:color w:val="000000"/>
                <w:sz w:val="20"/>
                <w:szCs w:val="20"/>
              </w:rPr>
            </w:pPr>
            <w:r w:rsidRPr="0095004E">
              <w:rPr>
                <w:color w:val="000000"/>
                <w:sz w:val="20"/>
                <w:szCs w:val="20"/>
              </w:rPr>
              <w:t>-4.75</w:t>
            </w:r>
          </w:p>
        </w:tc>
        <w:tc>
          <w:tcPr>
            <w:tcW w:w="1300" w:type="dxa"/>
            <w:tcBorders>
              <w:top w:val="nil"/>
              <w:left w:val="nil"/>
              <w:bottom w:val="nil"/>
              <w:right w:val="nil"/>
            </w:tcBorders>
            <w:shd w:val="clear" w:color="auto" w:fill="auto"/>
            <w:noWrap/>
            <w:vAlign w:val="bottom"/>
            <w:hideMark/>
          </w:tcPr>
          <w:p w14:paraId="3A8981CF" w14:textId="77777777" w:rsidR="001F27DD" w:rsidRPr="0095004E" w:rsidRDefault="001F27DD" w:rsidP="006D2DA3">
            <w:pPr>
              <w:jc w:val="right"/>
              <w:rPr>
                <w:color w:val="000000"/>
                <w:sz w:val="20"/>
                <w:szCs w:val="20"/>
              </w:rPr>
            </w:pPr>
            <w:r w:rsidRPr="0095004E">
              <w:rPr>
                <w:color w:val="000000"/>
                <w:sz w:val="20"/>
                <w:szCs w:val="20"/>
              </w:rPr>
              <w:t>-11.11</w:t>
            </w:r>
          </w:p>
        </w:tc>
        <w:tc>
          <w:tcPr>
            <w:tcW w:w="1540" w:type="dxa"/>
            <w:tcBorders>
              <w:top w:val="nil"/>
              <w:left w:val="nil"/>
              <w:bottom w:val="nil"/>
              <w:right w:val="nil"/>
            </w:tcBorders>
            <w:shd w:val="clear" w:color="auto" w:fill="auto"/>
            <w:noWrap/>
            <w:vAlign w:val="bottom"/>
            <w:hideMark/>
          </w:tcPr>
          <w:p w14:paraId="4845C28F" w14:textId="77777777" w:rsidR="001F27DD" w:rsidRPr="0095004E" w:rsidRDefault="001F27DD" w:rsidP="006D2DA3">
            <w:pPr>
              <w:jc w:val="right"/>
              <w:rPr>
                <w:color w:val="000000"/>
                <w:sz w:val="20"/>
                <w:szCs w:val="20"/>
              </w:rPr>
            </w:pPr>
            <w:r w:rsidRPr="0095004E">
              <w:rPr>
                <w:color w:val="000000"/>
                <w:sz w:val="20"/>
                <w:szCs w:val="20"/>
              </w:rPr>
              <w:t>-25.75</w:t>
            </w:r>
          </w:p>
        </w:tc>
      </w:tr>
      <w:tr w:rsidR="001F27DD" w:rsidRPr="00F30121" w14:paraId="6E037489" w14:textId="77777777" w:rsidTr="006D2DA3">
        <w:trPr>
          <w:trHeight w:val="320"/>
        </w:trPr>
        <w:tc>
          <w:tcPr>
            <w:tcW w:w="2580" w:type="dxa"/>
            <w:tcBorders>
              <w:top w:val="nil"/>
              <w:left w:val="nil"/>
              <w:bottom w:val="nil"/>
              <w:right w:val="nil"/>
            </w:tcBorders>
            <w:shd w:val="clear" w:color="auto" w:fill="auto"/>
            <w:noWrap/>
            <w:vAlign w:val="bottom"/>
            <w:hideMark/>
          </w:tcPr>
          <w:p w14:paraId="07CC8F38" w14:textId="77777777" w:rsidR="001F27DD" w:rsidRPr="0095004E" w:rsidRDefault="001F27DD" w:rsidP="006D2DA3">
            <w:pPr>
              <w:rPr>
                <w:color w:val="000000"/>
                <w:sz w:val="20"/>
                <w:szCs w:val="20"/>
              </w:rPr>
            </w:pPr>
            <w:r w:rsidRPr="0095004E">
              <w:rPr>
                <w:color w:val="000000"/>
                <w:sz w:val="20"/>
                <w:szCs w:val="20"/>
              </w:rPr>
              <w:t>Maximum</w:t>
            </w:r>
          </w:p>
        </w:tc>
        <w:tc>
          <w:tcPr>
            <w:tcW w:w="1580" w:type="dxa"/>
            <w:tcBorders>
              <w:top w:val="nil"/>
              <w:left w:val="nil"/>
              <w:bottom w:val="nil"/>
              <w:right w:val="nil"/>
            </w:tcBorders>
            <w:shd w:val="clear" w:color="auto" w:fill="auto"/>
            <w:noWrap/>
            <w:vAlign w:val="bottom"/>
            <w:hideMark/>
          </w:tcPr>
          <w:p w14:paraId="4D9EF970" w14:textId="77777777" w:rsidR="001F27DD" w:rsidRPr="0095004E" w:rsidRDefault="001F27DD" w:rsidP="006D2DA3">
            <w:pPr>
              <w:jc w:val="right"/>
              <w:rPr>
                <w:color w:val="000000"/>
                <w:sz w:val="20"/>
                <w:szCs w:val="20"/>
              </w:rPr>
            </w:pPr>
            <w:r w:rsidRPr="0095004E">
              <w:rPr>
                <w:color w:val="000000"/>
                <w:sz w:val="20"/>
                <w:szCs w:val="20"/>
              </w:rPr>
              <w:t>29.64</w:t>
            </w:r>
          </w:p>
        </w:tc>
        <w:tc>
          <w:tcPr>
            <w:tcW w:w="1540" w:type="dxa"/>
            <w:tcBorders>
              <w:top w:val="nil"/>
              <w:left w:val="nil"/>
              <w:bottom w:val="nil"/>
              <w:right w:val="nil"/>
            </w:tcBorders>
            <w:shd w:val="clear" w:color="auto" w:fill="auto"/>
            <w:noWrap/>
            <w:vAlign w:val="bottom"/>
            <w:hideMark/>
          </w:tcPr>
          <w:p w14:paraId="66D409F6" w14:textId="77777777" w:rsidR="001F27DD" w:rsidRPr="0095004E" w:rsidRDefault="001F27DD" w:rsidP="006D2DA3">
            <w:pPr>
              <w:jc w:val="right"/>
              <w:rPr>
                <w:color w:val="000000"/>
                <w:sz w:val="20"/>
                <w:szCs w:val="20"/>
              </w:rPr>
            </w:pPr>
            <w:r w:rsidRPr="0095004E">
              <w:rPr>
                <w:color w:val="000000"/>
                <w:sz w:val="20"/>
                <w:szCs w:val="20"/>
              </w:rPr>
              <w:t>8.33</w:t>
            </w:r>
          </w:p>
        </w:tc>
        <w:tc>
          <w:tcPr>
            <w:tcW w:w="1300" w:type="dxa"/>
            <w:tcBorders>
              <w:top w:val="nil"/>
              <w:left w:val="nil"/>
              <w:bottom w:val="nil"/>
              <w:right w:val="nil"/>
            </w:tcBorders>
            <w:shd w:val="clear" w:color="auto" w:fill="auto"/>
            <w:noWrap/>
            <w:vAlign w:val="bottom"/>
            <w:hideMark/>
          </w:tcPr>
          <w:p w14:paraId="6F8F1F1F" w14:textId="77777777" w:rsidR="001F27DD" w:rsidRPr="0095004E" w:rsidRDefault="001F27DD" w:rsidP="006D2DA3">
            <w:pPr>
              <w:jc w:val="right"/>
              <w:rPr>
                <w:color w:val="000000"/>
                <w:sz w:val="20"/>
                <w:szCs w:val="20"/>
              </w:rPr>
            </w:pPr>
            <w:r w:rsidRPr="0095004E">
              <w:rPr>
                <w:color w:val="000000"/>
                <w:sz w:val="20"/>
                <w:szCs w:val="20"/>
              </w:rPr>
              <w:t>18.95</w:t>
            </w:r>
          </w:p>
        </w:tc>
        <w:tc>
          <w:tcPr>
            <w:tcW w:w="1540" w:type="dxa"/>
            <w:tcBorders>
              <w:top w:val="nil"/>
              <w:left w:val="nil"/>
              <w:bottom w:val="nil"/>
              <w:right w:val="nil"/>
            </w:tcBorders>
            <w:shd w:val="clear" w:color="auto" w:fill="auto"/>
            <w:noWrap/>
            <w:vAlign w:val="bottom"/>
            <w:hideMark/>
          </w:tcPr>
          <w:p w14:paraId="60A9D2A9" w14:textId="77777777" w:rsidR="001F27DD" w:rsidRPr="0095004E" w:rsidRDefault="001F27DD" w:rsidP="006D2DA3">
            <w:pPr>
              <w:jc w:val="right"/>
              <w:rPr>
                <w:color w:val="000000"/>
                <w:sz w:val="20"/>
                <w:szCs w:val="20"/>
              </w:rPr>
            </w:pPr>
            <w:r w:rsidRPr="0095004E">
              <w:rPr>
                <w:color w:val="000000"/>
                <w:sz w:val="20"/>
                <w:szCs w:val="20"/>
              </w:rPr>
              <w:t>29.62</w:t>
            </w:r>
          </w:p>
        </w:tc>
      </w:tr>
      <w:tr w:rsidR="001F27DD" w:rsidRPr="00F30121" w14:paraId="3B8D1648" w14:textId="77777777" w:rsidTr="006D2DA3">
        <w:trPr>
          <w:trHeight w:val="320"/>
        </w:trPr>
        <w:tc>
          <w:tcPr>
            <w:tcW w:w="2580" w:type="dxa"/>
            <w:tcBorders>
              <w:top w:val="nil"/>
              <w:left w:val="nil"/>
              <w:bottom w:val="nil"/>
              <w:right w:val="nil"/>
            </w:tcBorders>
            <w:shd w:val="clear" w:color="auto" w:fill="auto"/>
            <w:noWrap/>
            <w:vAlign w:val="bottom"/>
            <w:hideMark/>
          </w:tcPr>
          <w:p w14:paraId="159A8F21" w14:textId="77777777" w:rsidR="001F27DD" w:rsidRPr="0095004E" w:rsidRDefault="001F27DD" w:rsidP="006D2DA3">
            <w:pPr>
              <w:rPr>
                <w:color w:val="000000"/>
                <w:sz w:val="20"/>
                <w:szCs w:val="20"/>
              </w:rPr>
            </w:pPr>
            <w:r w:rsidRPr="0095004E">
              <w:rPr>
                <w:color w:val="000000"/>
                <w:sz w:val="20"/>
                <w:szCs w:val="20"/>
              </w:rPr>
              <w:t>Sum</w:t>
            </w:r>
          </w:p>
        </w:tc>
        <w:tc>
          <w:tcPr>
            <w:tcW w:w="1580" w:type="dxa"/>
            <w:tcBorders>
              <w:top w:val="nil"/>
              <w:left w:val="nil"/>
              <w:bottom w:val="nil"/>
              <w:right w:val="nil"/>
            </w:tcBorders>
            <w:shd w:val="clear" w:color="auto" w:fill="auto"/>
            <w:noWrap/>
            <w:vAlign w:val="bottom"/>
            <w:hideMark/>
          </w:tcPr>
          <w:p w14:paraId="65719311" w14:textId="77777777" w:rsidR="001F27DD" w:rsidRPr="0095004E" w:rsidRDefault="001F27DD" w:rsidP="006D2DA3">
            <w:pPr>
              <w:jc w:val="right"/>
              <w:rPr>
                <w:color w:val="000000"/>
                <w:sz w:val="20"/>
                <w:szCs w:val="20"/>
              </w:rPr>
            </w:pPr>
            <w:r w:rsidRPr="0095004E">
              <w:rPr>
                <w:color w:val="000000"/>
                <w:sz w:val="20"/>
                <w:szCs w:val="20"/>
              </w:rPr>
              <w:t>99.81</w:t>
            </w:r>
          </w:p>
        </w:tc>
        <w:tc>
          <w:tcPr>
            <w:tcW w:w="1540" w:type="dxa"/>
            <w:tcBorders>
              <w:top w:val="nil"/>
              <w:left w:val="nil"/>
              <w:bottom w:val="nil"/>
              <w:right w:val="nil"/>
            </w:tcBorders>
            <w:shd w:val="clear" w:color="auto" w:fill="auto"/>
            <w:noWrap/>
            <w:vAlign w:val="bottom"/>
            <w:hideMark/>
          </w:tcPr>
          <w:p w14:paraId="5123E837" w14:textId="77777777" w:rsidR="001F27DD" w:rsidRPr="0095004E" w:rsidRDefault="001F27DD" w:rsidP="006D2DA3">
            <w:pPr>
              <w:jc w:val="right"/>
              <w:rPr>
                <w:color w:val="000000"/>
                <w:sz w:val="20"/>
                <w:szCs w:val="20"/>
              </w:rPr>
            </w:pPr>
            <w:r w:rsidRPr="0095004E">
              <w:rPr>
                <w:color w:val="000000"/>
                <w:sz w:val="20"/>
                <w:szCs w:val="20"/>
              </w:rPr>
              <w:t>65.57</w:t>
            </w:r>
          </w:p>
        </w:tc>
        <w:tc>
          <w:tcPr>
            <w:tcW w:w="1300" w:type="dxa"/>
            <w:tcBorders>
              <w:top w:val="nil"/>
              <w:left w:val="nil"/>
              <w:bottom w:val="nil"/>
              <w:right w:val="nil"/>
            </w:tcBorders>
            <w:shd w:val="clear" w:color="auto" w:fill="auto"/>
            <w:noWrap/>
            <w:vAlign w:val="bottom"/>
            <w:hideMark/>
          </w:tcPr>
          <w:p w14:paraId="6990552D" w14:textId="77777777" w:rsidR="001F27DD" w:rsidRPr="0095004E" w:rsidRDefault="001F27DD" w:rsidP="006D2DA3">
            <w:pPr>
              <w:jc w:val="right"/>
              <w:rPr>
                <w:color w:val="000000"/>
                <w:sz w:val="20"/>
                <w:szCs w:val="20"/>
              </w:rPr>
            </w:pPr>
            <w:r w:rsidRPr="0095004E">
              <w:rPr>
                <w:color w:val="000000"/>
                <w:sz w:val="20"/>
                <w:szCs w:val="20"/>
              </w:rPr>
              <w:t>16.96</w:t>
            </w:r>
          </w:p>
        </w:tc>
        <w:tc>
          <w:tcPr>
            <w:tcW w:w="1540" w:type="dxa"/>
            <w:tcBorders>
              <w:top w:val="nil"/>
              <w:left w:val="nil"/>
              <w:bottom w:val="nil"/>
              <w:right w:val="nil"/>
            </w:tcBorders>
            <w:shd w:val="clear" w:color="auto" w:fill="auto"/>
            <w:noWrap/>
            <w:vAlign w:val="bottom"/>
            <w:hideMark/>
          </w:tcPr>
          <w:p w14:paraId="61209F53" w14:textId="77777777" w:rsidR="001F27DD" w:rsidRPr="0095004E" w:rsidRDefault="001F27DD" w:rsidP="006D2DA3">
            <w:pPr>
              <w:jc w:val="right"/>
              <w:rPr>
                <w:color w:val="000000"/>
                <w:sz w:val="20"/>
                <w:szCs w:val="20"/>
              </w:rPr>
            </w:pPr>
            <w:r w:rsidRPr="0095004E">
              <w:rPr>
                <w:color w:val="000000"/>
                <w:sz w:val="20"/>
                <w:szCs w:val="20"/>
              </w:rPr>
              <w:t>90.36</w:t>
            </w:r>
          </w:p>
        </w:tc>
      </w:tr>
      <w:tr w:rsidR="001F27DD" w:rsidRPr="00F30121" w14:paraId="5D2AC034" w14:textId="77777777" w:rsidTr="006D2DA3">
        <w:trPr>
          <w:trHeight w:val="320"/>
        </w:trPr>
        <w:tc>
          <w:tcPr>
            <w:tcW w:w="2580" w:type="dxa"/>
            <w:tcBorders>
              <w:top w:val="nil"/>
              <w:left w:val="nil"/>
              <w:bottom w:val="nil"/>
              <w:right w:val="nil"/>
            </w:tcBorders>
            <w:shd w:val="clear" w:color="auto" w:fill="auto"/>
            <w:noWrap/>
            <w:vAlign w:val="bottom"/>
            <w:hideMark/>
          </w:tcPr>
          <w:p w14:paraId="2E9CADE9" w14:textId="77777777" w:rsidR="001F27DD" w:rsidRPr="0095004E" w:rsidRDefault="001F27DD" w:rsidP="006D2DA3">
            <w:pPr>
              <w:rPr>
                <w:color w:val="000000"/>
                <w:sz w:val="20"/>
                <w:szCs w:val="20"/>
              </w:rPr>
            </w:pPr>
            <w:r w:rsidRPr="0095004E">
              <w:rPr>
                <w:color w:val="000000"/>
                <w:sz w:val="20"/>
                <w:szCs w:val="20"/>
              </w:rPr>
              <w:t>Count</w:t>
            </w:r>
          </w:p>
        </w:tc>
        <w:tc>
          <w:tcPr>
            <w:tcW w:w="1580" w:type="dxa"/>
            <w:tcBorders>
              <w:top w:val="nil"/>
              <w:left w:val="nil"/>
              <w:bottom w:val="nil"/>
              <w:right w:val="nil"/>
            </w:tcBorders>
            <w:shd w:val="clear" w:color="auto" w:fill="auto"/>
            <w:noWrap/>
            <w:vAlign w:val="bottom"/>
            <w:hideMark/>
          </w:tcPr>
          <w:p w14:paraId="4BC890BF"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6865C5B4" w14:textId="77777777" w:rsidR="001F27DD" w:rsidRPr="0095004E" w:rsidRDefault="001F27DD" w:rsidP="006D2DA3">
            <w:pPr>
              <w:jc w:val="right"/>
              <w:rPr>
                <w:color w:val="000000"/>
                <w:sz w:val="20"/>
                <w:szCs w:val="20"/>
              </w:rPr>
            </w:pPr>
            <w:r w:rsidRPr="0095004E">
              <w:rPr>
                <w:color w:val="000000"/>
                <w:sz w:val="20"/>
                <w:szCs w:val="20"/>
              </w:rPr>
              <w:t>96</w:t>
            </w:r>
          </w:p>
        </w:tc>
        <w:tc>
          <w:tcPr>
            <w:tcW w:w="1300" w:type="dxa"/>
            <w:tcBorders>
              <w:top w:val="nil"/>
              <w:left w:val="nil"/>
              <w:bottom w:val="nil"/>
              <w:right w:val="nil"/>
            </w:tcBorders>
            <w:shd w:val="clear" w:color="auto" w:fill="auto"/>
            <w:noWrap/>
            <w:vAlign w:val="bottom"/>
            <w:hideMark/>
          </w:tcPr>
          <w:p w14:paraId="235E6DD3" w14:textId="77777777" w:rsidR="001F27DD" w:rsidRPr="0095004E" w:rsidRDefault="001F27DD" w:rsidP="006D2DA3">
            <w:pPr>
              <w:jc w:val="right"/>
              <w:rPr>
                <w:color w:val="000000"/>
                <w:sz w:val="20"/>
                <w:szCs w:val="20"/>
              </w:rPr>
            </w:pPr>
            <w:r w:rsidRPr="0095004E">
              <w:rPr>
                <w:color w:val="000000"/>
                <w:sz w:val="20"/>
                <w:szCs w:val="20"/>
              </w:rPr>
              <w:t>96</w:t>
            </w:r>
          </w:p>
        </w:tc>
        <w:tc>
          <w:tcPr>
            <w:tcW w:w="1540" w:type="dxa"/>
            <w:tcBorders>
              <w:top w:val="nil"/>
              <w:left w:val="nil"/>
              <w:bottom w:val="nil"/>
              <w:right w:val="nil"/>
            </w:tcBorders>
            <w:shd w:val="clear" w:color="auto" w:fill="auto"/>
            <w:noWrap/>
            <w:vAlign w:val="bottom"/>
            <w:hideMark/>
          </w:tcPr>
          <w:p w14:paraId="78A7EC8C" w14:textId="77777777" w:rsidR="001F27DD" w:rsidRPr="0095004E" w:rsidRDefault="001F27DD" w:rsidP="006D2DA3">
            <w:pPr>
              <w:jc w:val="right"/>
              <w:rPr>
                <w:color w:val="000000"/>
                <w:sz w:val="20"/>
                <w:szCs w:val="20"/>
              </w:rPr>
            </w:pPr>
            <w:r w:rsidRPr="0095004E">
              <w:rPr>
                <w:color w:val="000000"/>
                <w:sz w:val="20"/>
                <w:szCs w:val="20"/>
              </w:rPr>
              <w:t>96</w:t>
            </w:r>
          </w:p>
        </w:tc>
      </w:tr>
      <w:tr w:rsidR="001F27DD" w:rsidRPr="00F30121" w14:paraId="339C289A" w14:textId="77777777" w:rsidTr="006D2DA3">
        <w:trPr>
          <w:trHeight w:val="340"/>
        </w:trPr>
        <w:tc>
          <w:tcPr>
            <w:tcW w:w="2580" w:type="dxa"/>
            <w:tcBorders>
              <w:top w:val="nil"/>
              <w:left w:val="nil"/>
              <w:bottom w:val="single" w:sz="8" w:space="0" w:color="auto"/>
              <w:right w:val="nil"/>
            </w:tcBorders>
            <w:shd w:val="clear" w:color="auto" w:fill="auto"/>
            <w:noWrap/>
            <w:vAlign w:val="bottom"/>
            <w:hideMark/>
          </w:tcPr>
          <w:p w14:paraId="4C1C62C8" w14:textId="77777777" w:rsidR="001F27DD" w:rsidRPr="0095004E" w:rsidRDefault="001F27DD" w:rsidP="006D2DA3">
            <w:pPr>
              <w:rPr>
                <w:color w:val="000000"/>
                <w:sz w:val="20"/>
                <w:szCs w:val="20"/>
              </w:rPr>
            </w:pPr>
            <w:r w:rsidRPr="0095004E">
              <w:rPr>
                <w:color w:val="000000"/>
                <w:sz w:val="20"/>
                <w:szCs w:val="20"/>
              </w:rPr>
              <w:t>Confidence Level(95.0%)</w:t>
            </w:r>
          </w:p>
        </w:tc>
        <w:tc>
          <w:tcPr>
            <w:tcW w:w="1580" w:type="dxa"/>
            <w:tcBorders>
              <w:top w:val="nil"/>
              <w:left w:val="nil"/>
              <w:bottom w:val="single" w:sz="8" w:space="0" w:color="auto"/>
              <w:right w:val="nil"/>
            </w:tcBorders>
            <w:shd w:val="clear" w:color="auto" w:fill="auto"/>
            <w:noWrap/>
            <w:vAlign w:val="bottom"/>
            <w:hideMark/>
          </w:tcPr>
          <w:p w14:paraId="78066EF7" w14:textId="77777777" w:rsidR="001F27DD" w:rsidRPr="0095004E" w:rsidRDefault="001F27DD" w:rsidP="006D2DA3">
            <w:pPr>
              <w:jc w:val="right"/>
              <w:rPr>
                <w:color w:val="000000"/>
                <w:sz w:val="20"/>
                <w:szCs w:val="20"/>
              </w:rPr>
            </w:pPr>
            <w:r w:rsidRPr="0095004E">
              <w:rPr>
                <w:color w:val="000000"/>
                <w:sz w:val="20"/>
                <w:szCs w:val="20"/>
              </w:rPr>
              <w:t>1.306744044</w:t>
            </w:r>
          </w:p>
        </w:tc>
        <w:tc>
          <w:tcPr>
            <w:tcW w:w="1540" w:type="dxa"/>
            <w:tcBorders>
              <w:top w:val="nil"/>
              <w:left w:val="nil"/>
              <w:bottom w:val="single" w:sz="8" w:space="0" w:color="auto"/>
              <w:right w:val="nil"/>
            </w:tcBorders>
            <w:shd w:val="clear" w:color="auto" w:fill="auto"/>
            <w:noWrap/>
            <w:vAlign w:val="bottom"/>
            <w:hideMark/>
          </w:tcPr>
          <w:p w14:paraId="29DBF18B" w14:textId="77777777" w:rsidR="001F27DD" w:rsidRPr="0095004E" w:rsidRDefault="001F27DD" w:rsidP="006D2DA3">
            <w:pPr>
              <w:jc w:val="right"/>
              <w:rPr>
                <w:color w:val="000000"/>
                <w:sz w:val="20"/>
                <w:szCs w:val="20"/>
              </w:rPr>
            </w:pPr>
            <w:r w:rsidRPr="0095004E">
              <w:rPr>
                <w:color w:val="000000"/>
                <w:sz w:val="20"/>
                <w:szCs w:val="20"/>
              </w:rPr>
              <w:t>0.439724107</w:t>
            </w:r>
          </w:p>
        </w:tc>
        <w:tc>
          <w:tcPr>
            <w:tcW w:w="1300" w:type="dxa"/>
            <w:tcBorders>
              <w:top w:val="nil"/>
              <w:left w:val="nil"/>
              <w:bottom w:val="single" w:sz="8" w:space="0" w:color="auto"/>
              <w:right w:val="nil"/>
            </w:tcBorders>
            <w:shd w:val="clear" w:color="auto" w:fill="auto"/>
            <w:noWrap/>
            <w:vAlign w:val="bottom"/>
            <w:hideMark/>
          </w:tcPr>
          <w:p w14:paraId="75CE260D" w14:textId="77777777" w:rsidR="001F27DD" w:rsidRPr="0095004E" w:rsidRDefault="001F27DD" w:rsidP="006D2DA3">
            <w:pPr>
              <w:jc w:val="right"/>
              <w:rPr>
                <w:color w:val="000000"/>
                <w:sz w:val="20"/>
                <w:szCs w:val="20"/>
              </w:rPr>
            </w:pPr>
            <w:r w:rsidRPr="0095004E">
              <w:rPr>
                <w:color w:val="000000"/>
                <w:sz w:val="20"/>
                <w:szCs w:val="20"/>
              </w:rPr>
              <w:t>0.85180831</w:t>
            </w:r>
          </w:p>
        </w:tc>
        <w:tc>
          <w:tcPr>
            <w:tcW w:w="1540" w:type="dxa"/>
            <w:tcBorders>
              <w:top w:val="nil"/>
              <w:left w:val="nil"/>
              <w:bottom w:val="single" w:sz="8" w:space="0" w:color="auto"/>
              <w:right w:val="nil"/>
            </w:tcBorders>
            <w:shd w:val="clear" w:color="auto" w:fill="auto"/>
            <w:noWrap/>
            <w:vAlign w:val="bottom"/>
            <w:hideMark/>
          </w:tcPr>
          <w:p w14:paraId="0096C8A6" w14:textId="77777777" w:rsidR="001F27DD" w:rsidRPr="0095004E" w:rsidRDefault="001F27DD" w:rsidP="006D2DA3">
            <w:pPr>
              <w:jc w:val="right"/>
              <w:rPr>
                <w:color w:val="000000"/>
                <w:sz w:val="20"/>
                <w:szCs w:val="20"/>
              </w:rPr>
            </w:pPr>
            <w:r w:rsidRPr="0095004E">
              <w:rPr>
                <w:color w:val="000000"/>
                <w:sz w:val="20"/>
                <w:szCs w:val="20"/>
              </w:rPr>
              <w:t>1.306764971</w:t>
            </w:r>
          </w:p>
        </w:tc>
      </w:tr>
    </w:tbl>
    <w:p w14:paraId="08CE5A71" w14:textId="77777777" w:rsidR="001F27DD" w:rsidRDefault="001F27DD" w:rsidP="001F27DD"/>
    <w:p w14:paraId="6F704C65" w14:textId="77777777" w:rsidR="001F27DD" w:rsidRDefault="001F27DD" w:rsidP="001F27DD">
      <w:pPr>
        <w:spacing w:line="480" w:lineRule="auto"/>
        <w:ind w:firstLine="720"/>
      </w:pPr>
      <w:bookmarkStart w:id="19" w:name="OLE_LINK73"/>
      <w:bookmarkStart w:id="20" w:name="OLE_LINK74"/>
      <w:r w:rsidRPr="001B5A2E">
        <w:t>One disadvantage of the Stefano Marmi’s data library is the lack of details and explanation of individual portfolios structure. In other words, even though there is the excess return on the market portfolio, size premium, value premium and returns for each month in the country’s level, a specific value of stocks and portfolios in the company’s level is lacking, which violates assumptions of Fama and French three-factor model. To solve this problem, we weighted the value of individual returns for each country by multiplying the annual market capitalization ratio. Table 7 display a summary of the market ratio for each country from 2005 to 2012. By doing so, this method improves the returns in the company’s level to Asia’s level, which allow us to conduct the empirical analysis of Fama and French three-factor model</w:t>
      </w:r>
      <w:bookmarkEnd w:id="19"/>
      <w:bookmarkEnd w:id="20"/>
    </w:p>
    <w:p w14:paraId="422FAEBF" w14:textId="77777777" w:rsidR="001F27DD" w:rsidRPr="0095004E" w:rsidRDefault="001F27DD" w:rsidP="001F27DD">
      <w:pPr>
        <w:rPr>
          <w:b/>
          <w:bCs/>
        </w:rPr>
      </w:pPr>
      <w:bookmarkStart w:id="21" w:name="OLE_LINK94"/>
      <w:bookmarkStart w:id="22" w:name="OLE_LINK95"/>
      <w:r w:rsidRPr="0095004E">
        <w:rPr>
          <w:b/>
          <w:bCs/>
        </w:rPr>
        <w:t>Table 7: Annual market capitalization ratio for each country</w:t>
      </w:r>
    </w:p>
    <w:tbl>
      <w:tblPr>
        <w:tblW w:w="7820" w:type="dxa"/>
        <w:tblLook w:val="04A0" w:firstRow="1" w:lastRow="0" w:firstColumn="1" w:lastColumn="0" w:noHBand="0" w:noVBand="1"/>
      </w:tblPr>
      <w:tblGrid>
        <w:gridCol w:w="1300"/>
        <w:gridCol w:w="1300"/>
        <w:gridCol w:w="1300"/>
        <w:gridCol w:w="1300"/>
        <w:gridCol w:w="1300"/>
        <w:gridCol w:w="1320"/>
      </w:tblGrid>
      <w:tr w:rsidR="001F27DD" w:rsidRPr="0095004E" w14:paraId="711BD056" w14:textId="77777777" w:rsidTr="006D2DA3">
        <w:trPr>
          <w:trHeight w:val="320"/>
        </w:trPr>
        <w:tc>
          <w:tcPr>
            <w:tcW w:w="1300" w:type="dxa"/>
            <w:tcBorders>
              <w:top w:val="single" w:sz="8" w:space="0" w:color="auto"/>
              <w:left w:val="nil"/>
              <w:bottom w:val="single" w:sz="4" w:space="0" w:color="auto"/>
              <w:right w:val="nil"/>
            </w:tcBorders>
            <w:shd w:val="clear" w:color="auto" w:fill="auto"/>
            <w:noWrap/>
            <w:vAlign w:val="bottom"/>
            <w:hideMark/>
          </w:tcPr>
          <w:bookmarkEnd w:id="21"/>
          <w:bookmarkEnd w:id="22"/>
          <w:p w14:paraId="3A4FB4C5" w14:textId="77777777" w:rsidR="001F27DD" w:rsidRPr="0095004E" w:rsidRDefault="001F27DD" w:rsidP="006D2DA3">
            <w:pPr>
              <w:jc w:val="center"/>
              <w:rPr>
                <w:i/>
                <w:iCs/>
                <w:color w:val="000000"/>
                <w:sz w:val="20"/>
                <w:szCs w:val="20"/>
              </w:rPr>
            </w:pPr>
            <w:r w:rsidRPr="0095004E">
              <w:rPr>
                <w:i/>
                <w:iCs/>
                <w:color w:val="000000"/>
                <w:sz w:val="20"/>
                <w:szCs w:val="20"/>
              </w:rPr>
              <w:t>Year</w:t>
            </w:r>
          </w:p>
        </w:tc>
        <w:tc>
          <w:tcPr>
            <w:tcW w:w="1300" w:type="dxa"/>
            <w:tcBorders>
              <w:top w:val="single" w:sz="8" w:space="0" w:color="auto"/>
              <w:left w:val="nil"/>
              <w:bottom w:val="single" w:sz="4" w:space="0" w:color="auto"/>
              <w:right w:val="nil"/>
            </w:tcBorders>
            <w:shd w:val="clear" w:color="auto" w:fill="auto"/>
            <w:noWrap/>
            <w:vAlign w:val="bottom"/>
            <w:hideMark/>
          </w:tcPr>
          <w:p w14:paraId="1ED6CC2D" w14:textId="77777777" w:rsidR="001F27DD" w:rsidRPr="0095004E" w:rsidRDefault="001F27DD" w:rsidP="006D2DA3">
            <w:pPr>
              <w:jc w:val="center"/>
              <w:rPr>
                <w:i/>
                <w:iCs/>
                <w:color w:val="000000"/>
                <w:sz w:val="20"/>
                <w:szCs w:val="20"/>
              </w:rPr>
            </w:pPr>
            <w:r w:rsidRPr="0095004E">
              <w:rPr>
                <w:i/>
                <w:iCs/>
                <w:color w:val="000000"/>
                <w:sz w:val="20"/>
                <w:szCs w:val="20"/>
              </w:rPr>
              <w:t>China</w:t>
            </w:r>
          </w:p>
        </w:tc>
        <w:tc>
          <w:tcPr>
            <w:tcW w:w="1300" w:type="dxa"/>
            <w:tcBorders>
              <w:top w:val="single" w:sz="8" w:space="0" w:color="auto"/>
              <w:left w:val="nil"/>
              <w:bottom w:val="single" w:sz="4" w:space="0" w:color="auto"/>
              <w:right w:val="nil"/>
            </w:tcBorders>
            <w:shd w:val="clear" w:color="auto" w:fill="auto"/>
            <w:noWrap/>
            <w:vAlign w:val="bottom"/>
            <w:hideMark/>
          </w:tcPr>
          <w:p w14:paraId="31638F53" w14:textId="77777777" w:rsidR="001F27DD" w:rsidRPr="0095004E" w:rsidRDefault="001F27DD" w:rsidP="006D2DA3">
            <w:pPr>
              <w:jc w:val="center"/>
              <w:rPr>
                <w:i/>
                <w:iCs/>
                <w:color w:val="000000"/>
                <w:sz w:val="20"/>
                <w:szCs w:val="20"/>
              </w:rPr>
            </w:pPr>
            <w:r w:rsidRPr="0095004E">
              <w:rPr>
                <w:i/>
                <w:iCs/>
                <w:color w:val="000000"/>
                <w:sz w:val="20"/>
                <w:szCs w:val="20"/>
              </w:rPr>
              <w:t>India</w:t>
            </w:r>
          </w:p>
        </w:tc>
        <w:tc>
          <w:tcPr>
            <w:tcW w:w="1300" w:type="dxa"/>
            <w:tcBorders>
              <w:top w:val="single" w:sz="8" w:space="0" w:color="auto"/>
              <w:left w:val="nil"/>
              <w:bottom w:val="single" w:sz="4" w:space="0" w:color="auto"/>
              <w:right w:val="nil"/>
            </w:tcBorders>
            <w:shd w:val="clear" w:color="auto" w:fill="auto"/>
            <w:noWrap/>
            <w:vAlign w:val="bottom"/>
            <w:hideMark/>
          </w:tcPr>
          <w:p w14:paraId="537E26BD" w14:textId="77777777" w:rsidR="001F27DD" w:rsidRPr="0095004E" w:rsidRDefault="001F27DD" w:rsidP="006D2DA3">
            <w:pPr>
              <w:jc w:val="center"/>
              <w:rPr>
                <w:i/>
                <w:iCs/>
                <w:color w:val="000000"/>
                <w:sz w:val="20"/>
                <w:szCs w:val="20"/>
              </w:rPr>
            </w:pPr>
            <w:r w:rsidRPr="0095004E">
              <w:rPr>
                <w:i/>
                <w:iCs/>
                <w:color w:val="000000"/>
                <w:sz w:val="20"/>
                <w:szCs w:val="20"/>
              </w:rPr>
              <w:t>Singapore</w:t>
            </w:r>
          </w:p>
        </w:tc>
        <w:tc>
          <w:tcPr>
            <w:tcW w:w="1300" w:type="dxa"/>
            <w:tcBorders>
              <w:top w:val="single" w:sz="8" w:space="0" w:color="auto"/>
              <w:left w:val="nil"/>
              <w:bottom w:val="single" w:sz="4" w:space="0" w:color="auto"/>
              <w:right w:val="nil"/>
            </w:tcBorders>
            <w:shd w:val="clear" w:color="auto" w:fill="auto"/>
            <w:noWrap/>
            <w:vAlign w:val="bottom"/>
            <w:hideMark/>
          </w:tcPr>
          <w:p w14:paraId="29A0F45B" w14:textId="77777777" w:rsidR="001F27DD" w:rsidRPr="0095004E" w:rsidRDefault="001F27DD" w:rsidP="006D2DA3">
            <w:pPr>
              <w:jc w:val="center"/>
              <w:rPr>
                <w:i/>
                <w:iCs/>
                <w:color w:val="000000"/>
                <w:sz w:val="20"/>
                <w:szCs w:val="20"/>
              </w:rPr>
            </w:pPr>
            <w:r w:rsidRPr="0095004E">
              <w:rPr>
                <w:i/>
                <w:iCs/>
                <w:color w:val="000000"/>
                <w:sz w:val="20"/>
                <w:szCs w:val="20"/>
              </w:rPr>
              <w:t>Hong Kong</w:t>
            </w:r>
          </w:p>
        </w:tc>
        <w:tc>
          <w:tcPr>
            <w:tcW w:w="1320" w:type="dxa"/>
            <w:tcBorders>
              <w:top w:val="single" w:sz="8" w:space="0" w:color="auto"/>
              <w:left w:val="nil"/>
              <w:bottom w:val="single" w:sz="4" w:space="0" w:color="auto"/>
              <w:right w:val="nil"/>
            </w:tcBorders>
            <w:shd w:val="clear" w:color="auto" w:fill="auto"/>
            <w:noWrap/>
            <w:vAlign w:val="bottom"/>
            <w:hideMark/>
          </w:tcPr>
          <w:p w14:paraId="1ECB1CC7" w14:textId="77777777" w:rsidR="001F27DD" w:rsidRPr="0095004E" w:rsidRDefault="001F27DD" w:rsidP="006D2DA3">
            <w:pPr>
              <w:rPr>
                <w:color w:val="000000"/>
                <w:sz w:val="20"/>
                <w:szCs w:val="20"/>
              </w:rPr>
            </w:pPr>
            <w:r w:rsidRPr="0095004E">
              <w:rPr>
                <w:color w:val="000000"/>
                <w:sz w:val="20"/>
                <w:szCs w:val="20"/>
              </w:rPr>
              <w:t>South Korea</w:t>
            </w:r>
          </w:p>
        </w:tc>
      </w:tr>
      <w:tr w:rsidR="001F27DD" w:rsidRPr="0095004E" w14:paraId="4E59AC01" w14:textId="77777777" w:rsidTr="006D2DA3">
        <w:trPr>
          <w:trHeight w:val="320"/>
        </w:trPr>
        <w:tc>
          <w:tcPr>
            <w:tcW w:w="1300" w:type="dxa"/>
            <w:tcBorders>
              <w:top w:val="nil"/>
              <w:left w:val="nil"/>
              <w:bottom w:val="nil"/>
              <w:right w:val="nil"/>
            </w:tcBorders>
            <w:shd w:val="clear" w:color="auto" w:fill="auto"/>
            <w:noWrap/>
            <w:vAlign w:val="bottom"/>
            <w:hideMark/>
          </w:tcPr>
          <w:p w14:paraId="53146F79" w14:textId="77777777" w:rsidR="001F27DD" w:rsidRPr="0095004E" w:rsidRDefault="001F27DD" w:rsidP="006D2DA3">
            <w:pPr>
              <w:jc w:val="right"/>
              <w:rPr>
                <w:color w:val="000000"/>
                <w:sz w:val="20"/>
                <w:szCs w:val="20"/>
              </w:rPr>
            </w:pPr>
            <w:r w:rsidRPr="0095004E">
              <w:rPr>
                <w:color w:val="000000"/>
                <w:sz w:val="20"/>
                <w:szCs w:val="20"/>
              </w:rPr>
              <w:t>2005</w:t>
            </w:r>
          </w:p>
        </w:tc>
        <w:tc>
          <w:tcPr>
            <w:tcW w:w="1300" w:type="dxa"/>
            <w:tcBorders>
              <w:top w:val="nil"/>
              <w:left w:val="nil"/>
              <w:bottom w:val="nil"/>
              <w:right w:val="nil"/>
            </w:tcBorders>
            <w:shd w:val="clear" w:color="auto" w:fill="auto"/>
            <w:noWrap/>
            <w:vAlign w:val="bottom"/>
            <w:hideMark/>
          </w:tcPr>
          <w:p w14:paraId="52055517" w14:textId="77777777" w:rsidR="001F27DD" w:rsidRPr="0095004E" w:rsidRDefault="001F27DD" w:rsidP="006D2DA3">
            <w:pPr>
              <w:jc w:val="right"/>
              <w:rPr>
                <w:color w:val="000000"/>
                <w:sz w:val="20"/>
                <w:szCs w:val="20"/>
              </w:rPr>
            </w:pPr>
            <w:r w:rsidRPr="0095004E">
              <w:rPr>
                <w:color w:val="000000"/>
                <w:sz w:val="20"/>
                <w:szCs w:val="20"/>
              </w:rPr>
              <w:t>13.46%</w:t>
            </w:r>
          </w:p>
        </w:tc>
        <w:tc>
          <w:tcPr>
            <w:tcW w:w="1300" w:type="dxa"/>
            <w:tcBorders>
              <w:top w:val="nil"/>
              <w:left w:val="nil"/>
              <w:bottom w:val="nil"/>
              <w:right w:val="nil"/>
            </w:tcBorders>
            <w:shd w:val="clear" w:color="auto" w:fill="auto"/>
            <w:noWrap/>
            <w:vAlign w:val="bottom"/>
            <w:hideMark/>
          </w:tcPr>
          <w:p w14:paraId="319E2EEB" w14:textId="77777777" w:rsidR="001F27DD" w:rsidRPr="0095004E" w:rsidRDefault="001F27DD" w:rsidP="006D2DA3">
            <w:pPr>
              <w:jc w:val="right"/>
              <w:rPr>
                <w:color w:val="000000"/>
                <w:sz w:val="20"/>
                <w:szCs w:val="20"/>
              </w:rPr>
            </w:pPr>
            <w:r w:rsidRPr="0095004E">
              <w:rPr>
                <w:color w:val="000000"/>
                <w:sz w:val="20"/>
                <w:szCs w:val="20"/>
              </w:rPr>
              <w:t>18.53%</w:t>
            </w:r>
          </w:p>
        </w:tc>
        <w:tc>
          <w:tcPr>
            <w:tcW w:w="1300" w:type="dxa"/>
            <w:tcBorders>
              <w:top w:val="nil"/>
              <w:left w:val="nil"/>
              <w:bottom w:val="nil"/>
              <w:right w:val="nil"/>
            </w:tcBorders>
            <w:shd w:val="clear" w:color="auto" w:fill="auto"/>
            <w:noWrap/>
            <w:vAlign w:val="bottom"/>
            <w:hideMark/>
          </w:tcPr>
          <w:p w14:paraId="1C7AC5DD" w14:textId="77777777" w:rsidR="001F27DD" w:rsidRPr="0095004E" w:rsidRDefault="001F27DD" w:rsidP="006D2DA3">
            <w:pPr>
              <w:jc w:val="right"/>
              <w:rPr>
                <w:color w:val="000000"/>
                <w:sz w:val="20"/>
                <w:szCs w:val="20"/>
              </w:rPr>
            </w:pPr>
            <w:r w:rsidRPr="0095004E">
              <w:rPr>
                <w:color w:val="000000"/>
                <w:sz w:val="20"/>
                <w:szCs w:val="20"/>
              </w:rPr>
              <w:t>8.62%</w:t>
            </w:r>
          </w:p>
        </w:tc>
        <w:tc>
          <w:tcPr>
            <w:tcW w:w="1300" w:type="dxa"/>
            <w:tcBorders>
              <w:top w:val="nil"/>
              <w:left w:val="nil"/>
              <w:bottom w:val="nil"/>
              <w:right w:val="nil"/>
            </w:tcBorders>
            <w:shd w:val="clear" w:color="auto" w:fill="auto"/>
            <w:noWrap/>
            <w:vAlign w:val="bottom"/>
            <w:hideMark/>
          </w:tcPr>
          <w:p w14:paraId="2D05769E" w14:textId="77777777" w:rsidR="001F27DD" w:rsidRPr="0095004E" w:rsidRDefault="001F27DD" w:rsidP="006D2DA3">
            <w:pPr>
              <w:jc w:val="right"/>
              <w:rPr>
                <w:color w:val="000000"/>
                <w:sz w:val="20"/>
                <w:szCs w:val="20"/>
              </w:rPr>
            </w:pPr>
            <w:r w:rsidRPr="0095004E">
              <w:rPr>
                <w:color w:val="000000"/>
                <w:sz w:val="20"/>
                <w:szCs w:val="20"/>
              </w:rPr>
              <w:t>35.34%</w:t>
            </w:r>
          </w:p>
        </w:tc>
        <w:tc>
          <w:tcPr>
            <w:tcW w:w="1320" w:type="dxa"/>
            <w:tcBorders>
              <w:top w:val="nil"/>
              <w:left w:val="nil"/>
              <w:bottom w:val="nil"/>
              <w:right w:val="nil"/>
            </w:tcBorders>
            <w:shd w:val="clear" w:color="auto" w:fill="auto"/>
            <w:noWrap/>
            <w:vAlign w:val="bottom"/>
            <w:hideMark/>
          </w:tcPr>
          <w:p w14:paraId="45A4623E" w14:textId="77777777" w:rsidR="001F27DD" w:rsidRPr="0095004E" w:rsidRDefault="001F27DD" w:rsidP="006D2DA3">
            <w:pPr>
              <w:jc w:val="right"/>
              <w:rPr>
                <w:color w:val="000000"/>
                <w:sz w:val="20"/>
                <w:szCs w:val="20"/>
              </w:rPr>
            </w:pPr>
            <w:r w:rsidRPr="0095004E">
              <w:rPr>
                <w:color w:val="000000"/>
                <w:sz w:val="20"/>
                <w:szCs w:val="20"/>
              </w:rPr>
              <w:t>24.05%</w:t>
            </w:r>
          </w:p>
        </w:tc>
      </w:tr>
      <w:tr w:rsidR="001F27DD" w:rsidRPr="0095004E" w14:paraId="39D75014" w14:textId="77777777" w:rsidTr="006D2DA3">
        <w:trPr>
          <w:trHeight w:val="320"/>
        </w:trPr>
        <w:tc>
          <w:tcPr>
            <w:tcW w:w="1300" w:type="dxa"/>
            <w:tcBorders>
              <w:top w:val="nil"/>
              <w:left w:val="nil"/>
              <w:bottom w:val="nil"/>
              <w:right w:val="nil"/>
            </w:tcBorders>
            <w:shd w:val="clear" w:color="auto" w:fill="auto"/>
            <w:noWrap/>
            <w:vAlign w:val="bottom"/>
            <w:hideMark/>
          </w:tcPr>
          <w:p w14:paraId="61288724" w14:textId="77777777" w:rsidR="001F27DD" w:rsidRPr="0095004E" w:rsidRDefault="001F27DD" w:rsidP="006D2DA3">
            <w:pPr>
              <w:jc w:val="right"/>
              <w:rPr>
                <w:color w:val="000000"/>
                <w:sz w:val="20"/>
                <w:szCs w:val="20"/>
              </w:rPr>
            </w:pPr>
            <w:r w:rsidRPr="0095004E">
              <w:rPr>
                <w:color w:val="000000"/>
                <w:sz w:val="20"/>
                <w:szCs w:val="20"/>
              </w:rPr>
              <w:t>2006</w:t>
            </w:r>
          </w:p>
        </w:tc>
        <w:tc>
          <w:tcPr>
            <w:tcW w:w="1300" w:type="dxa"/>
            <w:tcBorders>
              <w:top w:val="nil"/>
              <w:left w:val="nil"/>
              <w:bottom w:val="nil"/>
              <w:right w:val="nil"/>
            </w:tcBorders>
            <w:shd w:val="clear" w:color="auto" w:fill="auto"/>
            <w:noWrap/>
            <w:vAlign w:val="bottom"/>
            <w:hideMark/>
          </w:tcPr>
          <w:p w14:paraId="6AD555AE" w14:textId="77777777" w:rsidR="001F27DD" w:rsidRPr="0095004E" w:rsidRDefault="001F27DD" w:rsidP="006D2DA3">
            <w:pPr>
              <w:jc w:val="right"/>
              <w:rPr>
                <w:color w:val="000000"/>
                <w:sz w:val="20"/>
                <w:szCs w:val="20"/>
              </w:rPr>
            </w:pPr>
            <w:r w:rsidRPr="0095004E">
              <w:rPr>
                <w:color w:val="000000"/>
                <w:sz w:val="20"/>
                <w:szCs w:val="20"/>
              </w:rPr>
              <w:t>23.39%</w:t>
            </w:r>
          </w:p>
        </w:tc>
        <w:tc>
          <w:tcPr>
            <w:tcW w:w="1300" w:type="dxa"/>
            <w:tcBorders>
              <w:top w:val="nil"/>
              <w:left w:val="nil"/>
              <w:bottom w:val="nil"/>
              <w:right w:val="nil"/>
            </w:tcBorders>
            <w:shd w:val="clear" w:color="auto" w:fill="auto"/>
            <w:noWrap/>
            <w:vAlign w:val="bottom"/>
            <w:hideMark/>
          </w:tcPr>
          <w:p w14:paraId="1544D9BE" w14:textId="77777777" w:rsidR="001F27DD" w:rsidRPr="0095004E" w:rsidRDefault="001F27DD" w:rsidP="006D2DA3">
            <w:pPr>
              <w:jc w:val="right"/>
              <w:rPr>
                <w:color w:val="000000"/>
                <w:sz w:val="20"/>
                <w:szCs w:val="20"/>
              </w:rPr>
            </w:pPr>
            <w:r w:rsidRPr="0095004E">
              <w:rPr>
                <w:color w:val="000000"/>
                <w:sz w:val="20"/>
                <w:szCs w:val="20"/>
              </w:rPr>
              <w:t>16.72%</w:t>
            </w:r>
          </w:p>
        </w:tc>
        <w:tc>
          <w:tcPr>
            <w:tcW w:w="1300" w:type="dxa"/>
            <w:tcBorders>
              <w:top w:val="nil"/>
              <w:left w:val="nil"/>
              <w:bottom w:val="nil"/>
              <w:right w:val="nil"/>
            </w:tcBorders>
            <w:shd w:val="clear" w:color="auto" w:fill="auto"/>
            <w:noWrap/>
            <w:vAlign w:val="bottom"/>
            <w:hideMark/>
          </w:tcPr>
          <w:p w14:paraId="0D62064C" w14:textId="77777777" w:rsidR="001F27DD" w:rsidRPr="0095004E" w:rsidRDefault="001F27DD" w:rsidP="006D2DA3">
            <w:pPr>
              <w:jc w:val="right"/>
              <w:rPr>
                <w:color w:val="000000"/>
                <w:sz w:val="20"/>
                <w:szCs w:val="20"/>
              </w:rPr>
            </w:pPr>
            <w:r w:rsidRPr="0095004E">
              <w:rPr>
                <w:color w:val="000000"/>
                <w:sz w:val="20"/>
                <w:szCs w:val="20"/>
              </w:rPr>
              <w:t>7.85%</w:t>
            </w:r>
          </w:p>
        </w:tc>
        <w:tc>
          <w:tcPr>
            <w:tcW w:w="1300" w:type="dxa"/>
            <w:tcBorders>
              <w:top w:val="nil"/>
              <w:left w:val="nil"/>
              <w:bottom w:val="nil"/>
              <w:right w:val="nil"/>
            </w:tcBorders>
            <w:shd w:val="clear" w:color="auto" w:fill="auto"/>
            <w:noWrap/>
            <w:vAlign w:val="bottom"/>
            <w:hideMark/>
          </w:tcPr>
          <w:p w14:paraId="049854E6" w14:textId="77777777" w:rsidR="001F27DD" w:rsidRPr="0095004E" w:rsidRDefault="001F27DD" w:rsidP="006D2DA3">
            <w:pPr>
              <w:jc w:val="right"/>
              <w:rPr>
                <w:color w:val="000000"/>
                <w:sz w:val="20"/>
                <w:szCs w:val="20"/>
              </w:rPr>
            </w:pPr>
            <w:r w:rsidRPr="0095004E">
              <w:rPr>
                <w:color w:val="000000"/>
                <w:sz w:val="20"/>
                <w:szCs w:val="20"/>
              </w:rPr>
              <w:t>35.01%</w:t>
            </w:r>
          </w:p>
        </w:tc>
        <w:tc>
          <w:tcPr>
            <w:tcW w:w="1320" w:type="dxa"/>
            <w:tcBorders>
              <w:top w:val="nil"/>
              <w:left w:val="nil"/>
              <w:bottom w:val="nil"/>
              <w:right w:val="nil"/>
            </w:tcBorders>
            <w:shd w:val="clear" w:color="auto" w:fill="auto"/>
            <w:noWrap/>
            <w:vAlign w:val="bottom"/>
            <w:hideMark/>
          </w:tcPr>
          <w:p w14:paraId="62FDB360" w14:textId="77777777" w:rsidR="001F27DD" w:rsidRPr="0095004E" w:rsidRDefault="001F27DD" w:rsidP="006D2DA3">
            <w:pPr>
              <w:jc w:val="right"/>
              <w:rPr>
                <w:color w:val="000000"/>
                <w:sz w:val="20"/>
                <w:szCs w:val="20"/>
              </w:rPr>
            </w:pPr>
            <w:r w:rsidRPr="0095004E">
              <w:rPr>
                <w:color w:val="000000"/>
                <w:sz w:val="20"/>
                <w:szCs w:val="20"/>
              </w:rPr>
              <w:t>17.04%</w:t>
            </w:r>
          </w:p>
        </w:tc>
      </w:tr>
      <w:tr w:rsidR="001F27DD" w:rsidRPr="0095004E" w14:paraId="1218A8BC" w14:textId="77777777" w:rsidTr="006D2DA3">
        <w:trPr>
          <w:trHeight w:val="320"/>
        </w:trPr>
        <w:tc>
          <w:tcPr>
            <w:tcW w:w="1300" w:type="dxa"/>
            <w:tcBorders>
              <w:top w:val="nil"/>
              <w:left w:val="nil"/>
              <w:bottom w:val="nil"/>
              <w:right w:val="nil"/>
            </w:tcBorders>
            <w:shd w:val="clear" w:color="auto" w:fill="auto"/>
            <w:noWrap/>
            <w:vAlign w:val="bottom"/>
            <w:hideMark/>
          </w:tcPr>
          <w:p w14:paraId="1427DFD1" w14:textId="77777777" w:rsidR="001F27DD" w:rsidRPr="0095004E" w:rsidRDefault="001F27DD" w:rsidP="006D2DA3">
            <w:pPr>
              <w:jc w:val="right"/>
              <w:rPr>
                <w:color w:val="000000"/>
                <w:sz w:val="20"/>
                <w:szCs w:val="20"/>
              </w:rPr>
            </w:pPr>
            <w:r w:rsidRPr="0095004E">
              <w:rPr>
                <w:color w:val="000000"/>
                <w:sz w:val="20"/>
                <w:szCs w:val="20"/>
              </w:rPr>
              <w:t>2007</w:t>
            </w:r>
          </w:p>
        </w:tc>
        <w:tc>
          <w:tcPr>
            <w:tcW w:w="1300" w:type="dxa"/>
            <w:tcBorders>
              <w:top w:val="nil"/>
              <w:left w:val="nil"/>
              <w:bottom w:val="nil"/>
              <w:right w:val="nil"/>
            </w:tcBorders>
            <w:shd w:val="clear" w:color="auto" w:fill="auto"/>
            <w:noWrap/>
            <w:vAlign w:val="bottom"/>
            <w:hideMark/>
          </w:tcPr>
          <w:p w14:paraId="58C21284" w14:textId="77777777" w:rsidR="001F27DD" w:rsidRPr="0095004E" w:rsidRDefault="001F27DD" w:rsidP="006D2DA3">
            <w:pPr>
              <w:jc w:val="right"/>
              <w:rPr>
                <w:color w:val="000000"/>
                <w:sz w:val="20"/>
                <w:szCs w:val="20"/>
              </w:rPr>
            </w:pPr>
            <w:r w:rsidRPr="0095004E">
              <w:rPr>
                <w:color w:val="000000"/>
                <w:sz w:val="20"/>
                <w:szCs w:val="20"/>
              </w:rPr>
              <w:t>42.20%</w:t>
            </w:r>
          </w:p>
        </w:tc>
        <w:tc>
          <w:tcPr>
            <w:tcW w:w="1300" w:type="dxa"/>
            <w:tcBorders>
              <w:top w:val="nil"/>
              <w:left w:val="nil"/>
              <w:bottom w:val="nil"/>
              <w:right w:val="nil"/>
            </w:tcBorders>
            <w:shd w:val="clear" w:color="auto" w:fill="auto"/>
            <w:noWrap/>
            <w:vAlign w:val="bottom"/>
            <w:hideMark/>
          </w:tcPr>
          <w:p w14:paraId="284D37A2" w14:textId="77777777" w:rsidR="001F27DD" w:rsidRPr="0095004E" w:rsidRDefault="001F27DD" w:rsidP="006D2DA3">
            <w:pPr>
              <w:jc w:val="right"/>
              <w:rPr>
                <w:color w:val="000000"/>
                <w:sz w:val="20"/>
                <w:szCs w:val="20"/>
              </w:rPr>
            </w:pPr>
            <w:r w:rsidRPr="0095004E">
              <w:rPr>
                <w:color w:val="000000"/>
                <w:sz w:val="20"/>
                <w:szCs w:val="20"/>
              </w:rPr>
              <w:t>17.14%</w:t>
            </w:r>
          </w:p>
        </w:tc>
        <w:tc>
          <w:tcPr>
            <w:tcW w:w="1300" w:type="dxa"/>
            <w:tcBorders>
              <w:top w:val="nil"/>
              <w:left w:val="nil"/>
              <w:bottom w:val="nil"/>
              <w:right w:val="nil"/>
            </w:tcBorders>
            <w:shd w:val="clear" w:color="auto" w:fill="auto"/>
            <w:noWrap/>
            <w:vAlign w:val="bottom"/>
            <w:hideMark/>
          </w:tcPr>
          <w:p w14:paraId="355C07FC" w14:textId="77777777" w:rsidR="001F27DD" w:rsidRPr="0095004E" w:rsidRDefault="001F27DD" w:rsidP="006D2DA3">
            <w:pPr>
              <w:jc w:val="right"/>
              <w:rPr>
                <w:color w:val="000000"/>
                <w:sz w:val="20"/>
                <w:szCs w:val="20"/>
              </w:rPr>
            </w:pPr>
            <w:r w:rsidRPr="0095004E">
              <w:rPr>
                <w:color w:val="000000"/>
                <w:sz w:val="20"/>
                <w:szCs w:val="20"/>
              </w:rPr>
              <w:t>5.08%</w:t>
            </w:r>
          </w:p>
        </w:tc>
        <w:tc>
          <w:tcPr>
            <w:tcW w:w="1300" w:type="dxa"/>
            <w:tcBorders>
              <w:top w:val="nil"/>
              <w:left w:val="nil"/>
              <w:bottom w:val="nil"/>
              <w:right w:val="nil"/>
            </w:tcBorders>
            <w:shd w:val="clear" w:color="auto" w:fill="auto"/>
            <w:noWrap/>
            <w:vAlign w:val="bottom"/>
            <w:hideMark/>
          </w:tcPr>
          <w:p w14:paraId="26AB28FD" w14:textId="77777777" w:rsidR="001F27DD" w:rsidRPr="0095004E" w:rsidRDefault="001F27DD" w:rsidP="006D2DA3">
            <w:pPr>
              <w:jc w:val="right"/>
              <w:rPr>
                <w:color w:val="000000"/>
                <w:sz w:val="20"/>
                <w:szCs w:val="20"/>
              </w:rPr>
            </w:pPr>
            <w:r w:rsidRPr="0095004E">
              <w:rPr>
                <w:color w:val="000000"/>
                <w:sz w:val="20"/>
                <w:szCs w:val="20"/>
              </w:rPr>
              <w:t>25.01%</w:t>
            </w:r>
          </w:p>
        </w:tc>
        <w:tc>
          <w:tcPr>
            <w:tcW w:w="1320" w:type="dxa"/>
            <w:tcBorders>
              <w:top w:val="nil"/>
              <w:left w:val="nil"/>
              <w:bottom w:val="nil"/>
              <w:right w:val="nil"/>
            </w:tcBorders>
            <w:shd w:val="clear" w:color="auto" w:fill="auto"/>
            <w:noWrap/>
            <w:vAlign w:val="bottom"/>
            <w:hideMark/>
          </w:tcPr>
          <w:p w14:paraId="0F502E9B" w14:textId="77777777" w:rsidR="001F27DD" w:rsidRPr="0095004E" w:rsidRDefault="001F27DD" w:rsidP="006D2DA3">
            <w:pPr>
              <w:jc w:val="right"/>
              <w:rPr>
                <w:color w:val="000000"/>
                <w:sz w:val="20"/>
                <w:szCs w:val="20"/>
              </w:rPr>
            </w:pPr>
            <w:r w:rsidRPr="0095004E">
              <w:rPr>
                <w:color w:val="000000"/>
                <w:sz w:val="20"/>
                <w:szCs w:val="20"/>
              </w:rPr>
              <w:t>10.58%</w:t>
            </w:r>
          </w:p>
        </w:tc>
      </w:tr>
      <w:tr w:rsidR="001F27DD" w:rsidRPr="0095004E" w14:paraId="600B38D1" w14:textId="77777777" w:rsidTr="006D2DA3">
        <w:trPr>
          <w:trHeight w:val="340"/>
        </w:trPr>
        <w:tc>
          <w:tcPr>
            <w:tcW w:w="1300" w:type="dxa"/>
            <w:tcBorders>
              <w:top w:val="nil"/>
              <w:left w:val="nil"/>
              <w:bottom w:val="nil"/>
              <w:right w:val="nil"/>
            </w:tcBorders>
            <w:shd w:val="clear" w:color="auto" w:fill="auto"/>
            <w:noWrap/>
            <w:vAlign w:val="bottom"/>
            <w:hideMark/>
          </w:tcPr>
          <w:p w14:paraId="570DDF28" w14:textId="77777777" w:rsidR="001F27DD" w:rsidRPr="0095004E" w:rsidRDefault="001F27DD" w:rsidP="006D2DA3">
            <w:pPr>
              <w:jc w:val="right"/>
              <w:rPr>
                <w:color w:val="000000"/>
                <w:sz w:val="20"/>
                <w:szCs w:val="20"/>
              </w:rPr>
            </w:pPr>
            <w:r w:rsidRPr="0095004E">
              <w:rPr>
                <w:color w:val="000000"/>
                <w:sz w:val="20"/>
                <w:szCs w:val="20"/>
              </w:rPr>
              <w:t>2008</w:t>
            </w:r>
          </w:p>
        </w:tc>
        <w:tc>
          <w:tcPr>
            <w:tcW w:w="1300" w:type="dxa"/>
            <w:tcBorders>
              <w:top w:val="nil"/>
              <w:left w:val="nil"/>
              <w:bottom w:val="nil"/>
              <w:right w:val="nil"/>
            </w:tcBorders>
            <w:shd w:val="clear" w:color="auto" w:fill="auto"/>
            <w:noWrap/>
            <w:vAlign w:val="bottom"/>
            <w:hideMark/>
          </w:tcPr>
          <w:p w14:paraId="4A36D779" w14:textId="77777777" w:rsidR="001F27DD" w:rsidRPr="0095004E" w:rsidRDefault="001F27DD" w:rsidP="006D2DA3">
            <w:pPr>
              <w:jc w:val="right"/>
              <w:rPr>
                <w:color w:val="000000"/>
                <w:sz w:val="20"/>
                <w:szCs w:val="20"/>
              </w:rPr>
            </w:pPr>
            <w:r w:rsidRPr="0095004E">
              <w:rPr>
                <w:color w:val="000000"/>
                <w:sz w:val="20"/>
                <w:szCs w:val="20"/>
              </w:rPr>
              <w:t>39.61%</w:t>
            </w:r>
          </w:p>
        </w:tc>
        <w:tc>
          <w:tcPr>
            <w:tcW w:w="1300" w:type="dxa"/>
            <w:tcBorders>
              <w:top w:val="nil"/>
              <w:left w:val="nil"/>
              <w:bottom w:val="nil"/>
              <w:right w:val="nil"/>
            </w:tcBorders>
            <w:shd w:val="clear" w:color="auto" w:fill="auto"/>
            <w:noWrap/>
            <w:vAlign w:val="bottom"/>
            <w:hideMark/>
          </w:tcPr>
          <w:p w14:paraId="34F523E9" w14:textId="77777777" w:rsidR="001F27DD" w:rsidRPr="0095004E" w:rsidRDefault="001F27DD" w:rsidP="006D2DA3">
            <w:pPr>
              <w:jc w:val="right"/>
              <w:rPr>
                <w:color w:val="000000"/>
                <w:sz w:val="20"/>
                <w:szCs w:val="20"/>
              </w:rPr>
            </w:pPr>
            <w:r w:rsidRPr="0095004E">
              <w:rPr>
                <w:color w:val="000000"/>
                <w:sz w:val="20"/>
                <w:szCs w:val="20"/>
              </w:rPr>
              <w:t>14.41%</w:t>
            </w:r>
          </w:p>
        </w:tc>
        <w:tc>
          <w:tcPr>
            <w:tcW w:w="1300" w:type="dxa"/>
            <w:tcBorders>
              <w:top w:val="nil"/>
              <w:left w:val="nil"/>
              <w:bottom w:val="nil"/>
              <w:right w:val="nil"/>
            </w:tcBorders>
            <w:shd w:val="clear" w:color="auto" w:fill="auto"/>
            <w:noWrap/>
            <w:vAlign w:val="bottom"/>
            <w:hideMark/>
          </w:tcPr>
          <w:p w14:paraId="3B6F6B26" w14:textId="77777777" w:rsidR="001F27DD" w:rsidRPr="0095004E" w:rsidRDefault="001F27DD" w:rsidP="006D2DA3">
            <w:pPr>
              <w:jc w:val="right"/>
              <w:rPr>
                <w:color w:val="000000"/>
                <w:sz w:val="20"/>
                <w:szCs w:val="20"/>
              </w:rPr>
            </w:pPr>
            <w:r w:rsidRPr="0095004E">
              <w:rPr>
                <w:color w:val="000000"/>
                <w:sz w:val="20"/>
                <w:szCs w:val="20"/>
              </w:rPr>
              <w:t>5.90%</w:t>
            </w:r>
          </w:p>
        </w:tc>
        <w:tc>
          <w:tcPr>
            <w:tcW w:w="1300" w:type="dxa"/>
            <w:tcBorders>
              <w:top w:val="nil"/>
              <w:left w:val="nil"/>
              <w:bottom w:val="nil"/>
              <w:right w:val="nil"/>
            </w:tcBorders>
            <w:shd w:val="clear" w:color="auto" w:fill="auto"/>
            <w:noWrap/>
            <w:vAlign w:val="bottom"/>
            <w:hideMark/>
          </w:tcPr>
          <w:p w14:paraId="3C6E71EA" w14:textId="77777777" w:rsidR="001F27DD" w:rsidRPr="0095004E" w:rsidRDefault="001F27DD" w:rsidP="006D2DA3">
            <w:pPr>
              <w:jc w:val="right"/>
              <w:rPr>
                <w:color w:val="000000"/>
                <w:sz w:val="20"/>
                <w:szCs w:val="20"/>
              </w:rPr>
            </w:pPr>
            <w:r w:rsidRPr="0095004E">
              <w:rPr>
                <w:color w:val="000000"/>
                <w:sz w:val="20"/>
                <w:szCs w:val="20"/>
              </w:rPr>
              <w:t>29.59%</w:t>
            </w:r>
          </w:p>
        </w:tc>
        <w:tc>
          <w:tcPr>
            <w:tcW w:w="1320" w:type="dxa"/>
            <w:tcBorders>
              <w:top w:val="nil"/>
              <w:left w:val="nil"/>
              <w:bottom w:val="nil"/>
              <w:right w:val="nil"/>
            </w:tcBorders>
            <w:shd w:val="clear" w:color="auto" w:fill="auto"/>
            <w:noWrap/>
            <w:vAlign w:val="bottom"/>
            <w:hideMark/>
          </w:tcPr>
          <w:p w14:paraId="7414E111" w14:textId="77777777" w:rsidR="001F27DD" w:rsidRPr="0095004E" w:rsidRDefault="001F27DD" w:rsidP="006D2DA3">
            <w:pPr>
              <w:jc w:val="right"/>
              <w:rPr>
                <w:color w:val="000000"/>
                <w:sz w:val="20"/>
                <w:szCs w:val="20"/>
              </w:rPr>
            </w:pPr>
            <w:r w:rsidRPr="0095004E">
              <w:rPr>
                <w:color w:val="000000"/>
                <w:sz w:val="20"/>
                <w:szCs w:val="20"/>
              </w:rPr>
              <w:t>10.48%</w:t>
            </w:r>
          </w:p>
        </w:tc>
      </w:tr>
      <w:tr w:rsidR="001F27DD" w:rsidRPr="0095004E" w14:paraId="19A359AB" w14:textId="77777777" w:rsidTr="006D2DA3">
        <w:trPr>
          <w:trHeight w:val="320"/>
        </w:trPr>
        <w:tc>
          <w:tcPr>
            <w:tcW w:w="1300" w:type="dxa"/>
            <w:tcBorders>
              <w:top w:val="nil"/>
              <w:left w:val="nil"/>
              <w:bottom w:val="nil"/>
              <w:right w:val="nil"/>
            </w:tcBorders>
            <w:shd w:val="clear" w:color="auto" w:fill="auto"/>
            <w:noWrap/>
            <w:vAlign w:val="bottom"/>
            <w:hideMark/>
          </w:tcPr>
          <w:p w14:paraId="298F9CA5" w14:textId="77777777" w:rsidR="001F27DD" w:rsidRPr="0095004E" w:rsidRDefault="001F27DD" w:rsidP="006D2DA3">
            <w:pPr>
              <w:jc w:val="right"/>
              <w:rPr>
                <w:color w:val="000000"/>
                <w:sz w:val="20"/>
                <w:szCs w:val="20"/>
              </w:rPr>
            </w:pPr>
            <w:r w:rsidRPr="0095004E">
              <w:rPr>
                <w:color w:val="000000"/>
                <w:sz w:val="20"/>
                <w:szCs w:val="20"/>
              </w:rPr>
              <w:t>2009</w:t>
            </w:r>
          </w:p>
        </w:tc>
        <w:tc>
          <w:tcPr>
            <w:tcW w:w="1300" w:type="dxa"/>
            <w:tcBorders>
              <w:top w:val="nil"/>
              <w:left w:val="nil"/>
              <w:bottom w:val="nil"/>
              <w:right w:val="nil"/>
            </w:tcBorders>
            <w:shd w:val="clear" w:color="auto" w:fill="auto"/>
            <w:noWrap/>
            <w:vAlign w:val="bottom"/>
            <w:hideMark/>
          </w:tcPr>
          <w:p w14:paraId="05791CF1" w14:textId="77777777" w:rsidR="001F27DD" w:rsidRPr="0095004E" w:rsidRDefault="001F27DD" w:rsidP="006D2DA3">
            <w:pPr>
              <w:jc w:val="right"/>
              <w:rPr>
                <w:color w:val="000000"/>
                <w:sz w:val="20"/>
                <w:szCs w:val="20"/>
              </w:rPr>
            </w:pPr>
            <w:r w:rsidRPr="0095004E">
              <w:rPr>
                <w:color w:val="000000"/>
                <w:sz w:val="20"/>
                <w:szCs w:val="20"/>
              </w:rPr>
              <w:t>42.03%</w:t>
            </w:r>
          </w:p>
        </w:tc>
        <w:tc>
          <w:tcPr>
            <w:tcW w:w="1300" w:type="dxa"/>
            <w:tcBorders>
              <w:top w:val="nil"/>
              <w:left w:val="nil"/>
              <w:bottom w:val="nil"/>
              <w:right w:val="nil"/>
            </w:tcBorders>
            <w:shd w:val="clear" w:color="auto" w:fill="auto"/>
            <w:noWrap/>
            <w:vAlign w:val="bottom"/>
            <w:hideMark/>
          </w:tcPr>
          <w:p w14:paraId="12580978" w14:textId="77777777" w:rsidR="001F27DD" w:rsidRPr="0095004E" w:rsidRDefault="001F27DD" w:rsidP="006D2DA3">
            <w:pPr>
              <w:jc w:val="right"/>
              <w:rPr>
                <w:color w:val="000000"/>
                <w:sz w:val="20"/>
                <w:szCs w:val="20"/>
              </w:rPr>
            </w:pPr>
            <w:r w:rsidRPr="0095004E">
              <w:rPr>
                <w:color w:val="000000"/>
                <w:sz w:val="20"/>
                <w:szCs w:val="20"/>
              </w:rPr>
              <w:t>15.37%</w:t>
            </w:r>
          </w:p>
        </w:tc>
        <w:tc>
          <w:tcPr>
            <w:tcW w:w="1300" w:type="dxa"/>
            <w:tcBorders>
              <w:top w:val="nil"/>
              <w:left w:val="nil"/>
              <w:bottom w:val="nil"/>
              <w:right w:val="nil"/>
            </w:tcBorders>
            <w:shd w:val="clear" w:color="auto" w:fill="auto"/>
            <w:noWrap/>
            <w:vAlign w:val="bottom"/>
            <w:hideMark/>
          </w:tcPr>
          <w:p w14:paraId="566FF1BF" w14:textId="77777777" w:rsidR="001F27DD" w:rsidRPr="0095004E" w:rsidRDefault="001F27DD" w:rsidP="006D2DA3">
            <w:pPr>
              <w:jc w:val="right"/>
              <w:rPr>
                <w:color w:val="000000"/>
                <w:sz w:val="20"/>
                <w:szCs w:val="20"/>
              </w:rPr>
            </w:pPr>
            <w:r w:rsidRPr="0095004E">
              <w:rPr>
                <w:color w:val="000000"/>
                <w:sz w:val="20"/>
                <w:szCs w:val="20"/>
              </w:rPr>
              <w:t>5.66%</w:t>
            </w:r>
          </w:p>
        </w:tc>
        <w:tc>
          <w:tcPr>
            <w:tcW w:w="1300" w:type="dxa"/>
            <w:tcBorders>
              <w:top w:val="nil"/>
              <w:left w:val="nil"/>
              <w:bottom w:val="nil"/>
              <w:right w:val="nil"/>
            </w:tcBorders>
            <w:shd w:val="clear" w:color="auto" w:fill="auto"/>
            <w:noWrap/>
            <w:vAlign w:val="bottom"/>
            <w:hideMark/>
          </w:tcPr>
          <w:p w14:paraId="1F9A0C39" w14:textId="77777777" w:rsidR="001F27DD" w:rsidRPr="0095004E" w:rsidRDefault="001F27DD" w:rsidP="006D2DA3">
            <w:pPr>
              <w:jc w:val="right"/>
              <w:rPr>
                <w:color w:val="000000"/>
                <w:sz w:val="20"/>
                <w:szCs w:val="20"/>
              </w:rPr>
            </w:pPr>
            <w:r w:rsidRPr="0095004E">
              <w:rPr>
                <w:color w:val="000000"/>
                <w:sz w:val="20"/>
                <w:szCs w:val="20"/>
              </w:rPr>
              <w:t>27.12%</w:t>
            </w:r>
          </w:p>
        </w:tc>
        <w:tc>
          <w:tcPr>
            <w:tcW w:w="1320" w:type="dxa"/>
            <w:tcBorders>
              <w:top w:val="nil"/>
              <w:left w:val="nil"/>
              <w:bottom w:val="nil"/>
              <w:right w:val="nil"/>
            </w:tcBorders>
            <w:shd w:val="clear" w:color="auto" w:fill="auto"/>
            <w:noWrap/>
            <w:vAlign w:val="bottom"/>
            <w:hideMark/>
          </w:tcPr>
          <w:p w14:paraId="73D3A665" w14:textId="77777777" w:rsidR="001F27DD" w:rsidRPr="0095004E" w:rsidRDefault="001F27DD" w:rsidP="006D2DA3">
            <w:pPr>
              <w:jc w:val="right"/>
              <w:rPr>
                <w:color w:val="000000"/>
                <w:sz w:val="20"/>
                <w:szCs w:val="20"/>
              </w:rPr>
            </w:pPr>
            <w:r w:rsidRPr="0095004E">
              <w:rPr>
                <w:color w:val="000000"/>
                <w:sz w:val="20"/>
                <w:szCs w:val="20"/>
              </w:rPr>
              <w:t>9.82%</w:t>
            </w:r>
          </w:p>
        </w:tc>
      </w:tr>
      <w:tr w:rsidR="001F27DD" w:rsidRPr="0095004E" w14:paraId="19C87530" w14:textId="77777777" w:rsidTr="006D2DA3">
        <w:trPr>
          <w:trHeight w:val="320"/>
        </w:trPr>
        <w:tc>
          <w:tcPr>
            <w:tcW w:w="1300" w:type="dxa"/>
            <w:tcBorders>
              <w:top w:val="nil"/>
              <w:left w:val="nil"/>
              <w:bottom w:val="nil"/>
              <w:right w:val="nil"/>
            </w:tcBorders>
            <w:shd w:val="clear" w:color="auto" w:fill="auto"/>
            <w:noWrap/>
            <w:vAlign w:val="bottom"/>
            <w:hideMark/>
          </w:tcPr>
          <w:p w14:paraId="2AB3BB08" w14:textId="77777777" w:rsidR="001F27DD" w:rsidRPr="0095004E" w:rsidRDefault="001F27DD" w:rsidP="006D2DA3">
            <w:pPr>
              <w:jc w:val="right"/>
              <w:rPr>
                <w:color w:val="000000"/>
                <w:sz w:val="20"/>
                <w:szCs w:val="20"/>
              </w:rPr>
            </w:pPr>
            <w:r w:rsidRPr="0095004E">
              <w:rPr>
                <w:color w:val="000000"/>
                <w:sz w:val="20"/>
                <w:szCs w:val="20"/>
              </w:rPr>
              <w:t>2010</w:t>
            </w:r>
          </w:p>
        </w:tc>
        <w:tc>
          <w:tcPr>
            <w:tcW w:w="1300" w:type="dxa"/>
            <w:tcBorders>
              <w:top w:val="nil"/>
              <w:left w:val="nil"/>
              <w:bottom w:val="nil"/>
              <w:right w:val="nil"/>
            </w:tcBorders>
            <w:shd w:val="clear" w:color="auto" w:fill="auto"/>
            <w:noWrap/>
            <w:vAlign w:val="bottom"/>
            <w:hideMark/>
          </w:tcPr>
          <w:p w14:paraId="4C1AE770" w14:textId="77777777" w:rsidR="001F27DD" w:rsidRPr="0095004E" w:rsidRDefault="001F27DD" w:rsidP="006D2DA3">
            <w:pPr>
              <w:jc w:val="right"/>
              <w:rPr>
                <w:color w:val="000000"/>
                <w:sz w:val="20"/>
                <w:szCs w:val="20"/>
              </w:rPr>
            </w:pPr>
            <w:r w:rsidRPr="0095004E">
              <w:rPr>
                <w:color w:val="000000"/>
                <w:sz w:val="20"/>
                <w:szCs w:val="20"/>
              </w:rPr>
              <w:t>39.84%</w:t>
            </w:r>
          </w:p>
        </w:tc>
        <w:tc>
          <w:tcPr>
            <w:tcW w:w="1300" w:type="dxa"/>
            <w:tcBorders>
              <w:top w:val="nil"/>
              <w:left w:val="nil"/>
              <w:bottom w:val="nil"/>
              <w:right w:val="nil"/>
            </w:tcBorders>
            <w:shd w:val="clear" w:color="auto" w:fill="auto"/>
            <w:noWrap/>
            <w:vAlign w:val="bottom"/>
            <w:hideMark/>
          </w:tcPr>
          <w:p w14:paraId="3F2DA31B" w14:textId="77777777" w:rsidR="001F27DD" w:rsidRPr="0095004E" w:rsidRDefault="001F27DD" w:rsidP="006D2DA3">
            <w:pPr>
              <w:jc w:val="right"/>
              <w:rPr>
                <w:color w:val="000000"/>
                <w:sz w:val="20"/>
                <w:szCs w:val="20"/>
              </w:rPr>
            </w:pPr>
            <w:r w:rsidRPr="0095004E">
              <w:rPr>
                <w:color w:val="000000"/>
                <w:sz w:val="20"/>
                <w:szCs w:val="20"/>
              </w:rPr>
              <w:t>16.14%</w:t>
            </w:r>
          </w:p>
        </w:tc>
        <w:tc>
          <w:tcPr>
            <w:tcW w:w="1300" w:type="dxa"/>
            <w:tcBorders>
              <w:top w:val="nil"/>
              <w:left w:val="nil"/>
              <w:bottom w:val="nil"/>
              <w:right w:val="nil"/>
            </w:tcBorders>
            <w:shd w:val="clear" w:color="auto" w:fill="auto"/>
            <w:noWrap/>
            <w:vAlign w:val="bottom"/>
            <w:hideMark/>
          </w:tcPr>
          <w:p w14:paraId="54D72078" w14:textId="77777777" w:rsidR="001F27DD" w:rsidRPr="0095004E" w:rsidRDefault="001F27DD" w:rsidP="006D2DA3">
            <w:pPr>
              <w:jc w:val="right"/>
              <w:rPr>
                <w:color w:val="000000"/>
                <w:sz w:val="20"/>
                <w:szCs w:val="20"/>
              </w:rPr>
            </w:pPr>
            <w:r w:rsidRPr="0095004E">
              <w:rPr>
                <w:color w:val="000000"/>
                <w:sz w:val="20"/>
                <w:szCs w:val="20"/>
              </w:rPr>
              <w:t>6.40%</w:t>
            </w:r>
          </w:p>
        </w:tc>
        <w:tc>
          <w:tcPr>
            <w:tcW w:w="1300" w:type="dxa"/>
            <w:tcBorders>
              <w:top w:val="nil"/>
              <w:left w:val="nil"/>
              <w:bottom w:val="nil"/>
              <w:right w:val="nil"/>
            </w:tcBorders>
            <w:shd w:val="clear" w:color="auto" w:fill="auto"/>
            <w:noWrap/>
            <w:vAlign w:val="bottom"/>
            <w:hideMark/>
          </w:tcPr>
          <w:p w14:paraId="5C057761" w14:textId="77777777" w:rsidR="001F27DD" w:rsidRPr="0095004E" w:rsidRDefault="001F27DD" w:rsidP="006D2DA3">
            <w:pPr>
              <w:jc w:val="right"/>
              <w:rPr>
                <w:color w:val="000000"/>
                <w:sz w:val="20"/>
                <w:szCs w:val="20"/>
              </w:rPr>
            </w:pPr>
            <w:r w:rsidRPr="0095004E">
              <w:rPr>
                <w:color w:val="000000"/>
                <w:sz w:val="20"/>
                <w:szCs w:val="20"/>
              </w:rPr>
              <w:t>26.82%</w:t>
            </w:r>
          </w:p>
        </w:tc>
        <w:tc>
          <w:tcPr>
            <w:tcW w:w="1320" w:type="dxa"/>
            <w:tcBorders>
              <w:top w:val="nil"/>
              <w:left w:val="nil"/>
              <w:bottom w:val="nil"/>
              <w:right w:val="nil"/>
            </w:tcBorders>
            <w:shd w:val="clear" w:color="auto" w:fill="auto"/>
            <w:noWrap/>
            <w:vAlign w:val="bottom"/>
            <w:hideMark/>
          </w:tcPr>
          <w:p w14:paraId="58C1B1A2" w14:textId="77777777" w:rsidR="001F27DD" w:rsidRPr="0095004E" w:rsidRDefault="001F27DD" w:rsidP="006D2DA3">
            <w:pPr>
              <w:jc w:val="right"/>
              <w:rPr>
                <w:color w:val="000000"/>
                <w:sz w:val="20"/>
                <w:szCs w:val="20"/>
              </w:rPr>
            </w:pPr>
            <w:r w:rsidRPr="0095004E">
              <w:rPr>
                <w:color w:val="000000"/>
                <w:sz w:val="20"/>
                <w:szCs w:val="20"/>
              </w:rPr>
              <w:t>10.80%</w:t>
            </w:r>
          </w:p>
        </w:tc>
      </w:tr>
      <w:tr w:rsidR="001F27DD" w:rsidRPr="0095004E" w14:paraId="4320C220" w14:textId="77777777" w:rsidTr="006D2DA3">
        <w:trPr>
          <w:trHeight w:val="320"/>
        </w:trPr>
        <w:tc>
          <w:tcPr>
            <w:tcW w:w="1300" w:type="dxa"/>
            <w:tcBorders>
              <w:top w:val="nil"/>
              <w:left w:val="nil"/>
              <w:bottom w:val="nil"/>
              <w:right w:val="nil"/>
            </w:tcBorders>
            <w:shd w:val="clear" w:color="auto" w:fill="auto"/>
            <w:noWrap/>
            <w:vAlign w:val="bottom"/>
            <w:hideMark/>
          </w:tcPr>
          <w:p w14:paraId="3A44640A" w14:textId="77777777" w:rsidR="001F27DD" w:rsidRPr="0095004E" w:rsidRDefault="001F27DD" w:rsidP="006D2DA3">
            <w:pPr>
              <w:jc w:val="right"/>
              <w:rPr>
                <w:color w:val="000000"/>
                <w:sz w:val="20"/>
                <w:szCs w:val="20"/>
              </w:rPr>
            </w:pPr>
            <w:r w:rsidRPr="0095004E">
              <w:rPr>
                <w:color w:val="000000"/>
                <w:sz w:val="20"/>
                <w:szCs w:val="20"/>
              </w:rPr>
              <w:t>2011</w:t>
            </w:r>
          </w:p>
        </w:tc>
        <w:tc>
          <w:tcPr>
            <w:tcW w:w="1300" w:type="dxa"/>
            <w:tcBorders>
              <w:top w:val="nil"/>
              <w:left w:val="nil"/>
              <w:bottom w:val="nil"/>
              <w:right w:val="nil"/>
            </w:tcBorders>
            <w:shd w:val="clear" w:color="auto" w:fill="auto"/>
            <w:noWrap/>
            <w:vAlign w:val="bottom"/>
            <w:hideMark/>
          </w:tcPr>
          <w:p w14:paraId="6CBEB6E9" w14:textId="77777777" w:rsidR="001F27DD" w:rsidRPr="0095004E" w:rsidRDefault="001F27DD" w:rsidP="006D2DA3">
            <w:pPr>
              <w:jc w:val="right"/>
              <w:rPr>
                <w:color w:val="000000"/>
                <w:sz w:val="20"/>
                <w:szCs w:val="20"/>
              </w:rPr>
            </w:pPr>
            <w:r w:rsidRPr="0095004E">
              <w:rPr>
                <w:color w:val="000000"/>
                <w:sz w:val="20"/>
                <w:szCs w:val="20"/>
              </w:rPr>
              <w:t>41.25%</w:t>
            </w:r>
          </w:p>
        </w:tc>
        <w:tc>
          <w:tcPr>
            <w:tcW w:w="1300" w:type="dxa"/>
            <w:tcBorders>
              <w:top w:val="nil"/>
              <w:left w:val="nil"/>
              <w:bottom w:val="nil"/>
              <w:right w:val="nil"/>
            </w:tcBorders>
            <w:shd w:val="clear" w:color="auto" w:fill="auto"/>
            <w:noWrap/>
            <w:vAlign w:val="bottom"/>
            <w:hideMark/>
          </w:tcPr>
          <w:p w14:paraId="6B7BFC55" w14:textId="77777777" w:rsidR="001F27DD" w:rsidRPr="0095004E" w:rsidRDefault="001F27DD" w:rsidP="006D2DA3">
            <w:pPr>
              <w:jc w:val="right"/>
              <w:rPr>
                <w:color w:val="000000"/>
                <w:sz w:val="20"/>
                <w:szCs w:val="20"/>
              </w:rPr>
            </w:pPr>
            <w:r w:rsidRPr="0095004E">
              <w:rPr>
                <w:color w:val="000000"/>
                <w:sz w:val="20"/>
                <w:szCs w:val="20"/>
              </w:rPr>
              <w:t>12.18%</w:t>
            </w:r>
          </w:p>
        </w:tc>
        <w:tc>
          <w:tcPr>
            <w:tcW w:w="1300" w:type="dxa"/>
            <w:tcBorders>
              <w:top w:val="nil"/>
              <w:left w:val="nil"/>
              <w:bottom w:val="nil"/>
              <w:right w:val="nil"/>
            </w:tcBorders>
            <w:shd w:val="clear" w:color="auto" w:fill="auto"/>
            <w:noWrap/>
            <w:vAlign w:val="bottom"/>
            <w:hideMark/>
          </w:tcPr>
          <w:p w14:paraId="0E8C341B" w14:textId="77777777" w:rsidR="001F27DD" w:rsidRPr="0095004E" w:rsidRDefault="001F27DD" w:rsidP="006D2DA3">
            <w:pPr>
              <w:jc w:val="right"/>
              <w:rPr>
                <w:color w:val="000000"/>
                <w:sz w:val="20"/>
                <w:szCs w:val="20"/>
              </w:rPr>
            </w:pPr>
            <w:r w:rsidRPr="0095004E">
              <w:rPr>
                <w:color w:val="000000"/>
                <w:sz w:val="20"/>
                <w:szCs w:val="20"/>
              </w:rPr>
              <w:t>7.23%</w:t>
            </w:r>
          </w:p>
        </w:tc>
        <w:tc>
          <w:tcPr>
            <w:tcW w:w="1300" w:type="dxa"/>
            <w:tcBorders>
              <w:top w:val="nil"/>
              <w:left w:val="nil"/>
              <w:bottom w:val="nil"/>
              <w:right w:val="nil"/>
            </w:tcBorders>
            <w:shd w:val="clear" w:color="auto" w:fill="auto"/>
            <w:noWrap/>
            <w:vAlign w:val="bottom"/>
            <w:hideMark/>
          </w:tcPr>
          <w:p w14:paraId="33B7A097" w14:textId="77777777" w:rsidR="001F27DD" w:rsidRPr="0095004E" w:rsidRDefault="001F27DD" w:rsidP="006D2DA3">
            <w:pPr>
              <w:jc w:val="right"/>
              <w:rPr>
                <w:color w:val="000000"/>
                <w:sz w:val="20"/>
                <w:szCs w:val="20"/>
              </w:rPr>
            </w:pPr>
            <w:r w:rsidRPr="0095004E">
              <w:rPr>
                <w:color w:val="000000"/>
                <w:sz w:val="20"/>
                <w:szCs w:val="20"/>
              </w:rPr>
              <w:t>27.30%</w:t>
            </w:r>
          </w:p>
        </w:tc>
        <w:tc>
          <w:tcPr>
            <w:tcW w:w="1320" w:type="dxa"/>
            <w:tcBorders>
              <w:top w:val="nil"/>
              <w:left w:val="nil"/>
              <w:bottom w:val="nil"/>
              <w:right w:val="nil"/>
            </w:tcBorders>
            <w:shd w:val="clear" w:color="auto" w:fill="auto"/>
            <w:noWrap/>
            <w:vAlign w:val="bottom"/>
            <w:hideMark/>
          </w:tcPr>
          <w:p w14:paraId="26987DD9" w14:textId="77777777" w:rsidR="001F27DD" w:rsidRPr="0095004E" w:rsidRDefault="001F27DD" w:rsidP="006D2DA3">
            <w:pPr>
              <w:jc w:val="right"/>
              <w:rPr>
                <w:color w:val="000000"/>
                <w:sz w:val="20"/>
                <w:szCs w:val="20"/>
              </w:rPr>
            </w:pPr>
            <w:r w:rsidRPr="0095004E">
              <w:rPr>
                <w:color w:val="000000"/>
                <w:sz w:val="20"/>
                <w:szCs w:val="20"/>
              </w:rPr>
              <w:t>12.04%</w:t>
            </w:r>
          </w:p>
        </w:tc>
      </w:tr>
      <w:tr w:rsidR="001F27DD" w:rsidRPr="0095004E" w14:paraId="16FD1019" w14:textId="77777777" w:rsidTr="006D2DA3">
        <w:trPr>
          <w:trHeight w:val="340"/>
        </w:trPr>
        <w:tc>
          <w:tcPr>
            <w:tcW w:w="1300" w:type="dxa"/>
            <w:tcBorders>
              <w:top w:val="nil"/>
              <w:left w:val="nil"/>
              <w:bottom w:val="single" w:sz="8" w:space="0" w:color="auto"/>
              <w:right w:val="nil"/>
            </w:tcBorders>
            <w:shd w:val="clear" w:color="auto" w:fill="auto"/>
            <w:noWrap/>
            <w:vAlign w:val="bottom"/>
            <w:hideMark/>
          </w:tcPr>
          <w:p w14:paraId="5AC42CBA" w14:textId="77777777" w:rsidR="001F27DD" w:rsidRPr="0095004E" w:rsidRDefault="001F27DD" w:rsidP="006D2DA3">
            <w:pPr>
              <w:jc w:val="right"/>
              <w:rPr>
                <w:color w:val="000000"/>
                <w:sz w:val="20"/>
                <w:szCs w:val="20"/>
              </w:rPr>
            </w:pPr>
            <w:r w:rsidRPr="0095004E">
              <w:rPr>
                <w:color w:val="000000"/>
                <w:sz w:val="20"/>
                <w:szCs w:val="20"/>
              </w:rPr>
              <w:t>2012</w:t>
            </w:r>
          </w:p>
        </w:tc>
        <w:tc>
          <w:tcPr>
            <w:tcW w:w="1300" w:type="dxa"/>
            <w:tcBorders>
              <w:top w:val="nil"/>
              <w:left w:val="nil"/>
              <w:bottom w:val="single" w:sz="8" w:space="0" w:color="auto"/>
              <w:right w:val="nil"/>
            </w:tcBorders>
            <w:shd w:val="clear" w:color="auto" w:fill="auto"/>
            <w:noWrap/>
            <w:vAlign w:val="bottom"/>
            <w:hideMark/>
          </w:tcPr>
          <w:p w14:paraId="32F4B303" w14:textId="77777777" w:rsidR="001F27DD" w:rsidRPr="0095004E" w:rsidRDefault="001F27DD" w:rsidP="006D2DA3">
            <w:pPr>
              <w:jc w:val="right"/>
              <w:rPr>
                <w:color w:val="000000"/>
                <w:sz w:val="20"/>
                <w:szCs w:val="20"/>
              </w:rPr>
            </w:pPr>
            <w:r w:rsidRPr="0095004E">
              <w:rPr>
                <w:color w:val="000000"/>
                <w:sz w:val="20"/>
                <w:szCs w:val="20"/>
              </w:rPr>
              <w:t>37.97%</w:t>
            </w:r>
          </w:p>
        </w:tc>
        <w:tc>
          <w:tcPr>
            <w:tcW w:w="1300" w:type="dxa"/>
            <w:tcBorders>
              <w:top w:val="nil"/>
              <w:left w:val="nil"/>
              <w:bottom w:val="single" w:sz="8" w:space="0" w:color="auto"/>
              <w:right w:val="nil"/>
            </w:tcBorders>
            <w:shd w:val="clear" w:color="auto" w:fill="auto"/>
            <w:noWrap/>
            <w:vAlign w:val="bottom"/>
            <w:hideMark/>
          </w:tcPr>
          <w:p w14:paraId="708452F4" w14:textId="77777777" w:rsidR="001F27DD" w:rsidRPr="0095004E" w:rsidRDefault="001F27DD" w:rsidP="006D2DA3">
            <w:pPr>
              <w:jc w:val="right"/>
              <w:rPr>
                <w:color w:val="000000"/>
                <w:sz w:val="20"/>
                <w:szCs w:val="20"/>
              </w:rPr>
            </w:pPr>
            <w:r w:rsidRPr="0095004E">
              <w:rPr>
                <w:color w:val="000000"/>
                <w:sz w:val="20"/>
                <w:szCs w:val="20"/>
              </w:rPr>
              <w:t>12.97%</w:t>
            </w:r>
          </w:p>
        </w:tc>
        <w:tc>
          <w:tcPr>
            <w:tcW w:w="1300" w:type="dxa"/>
            <w:tcBorders>
              <w:top w:val="nil"/>
              <w:left w:val="nil"/>
              <w:bottom w:val="single" w:sz="8" w:space="0" w:color="auto"/>
              <w:right w:val="nil"/>
            </w:tcBorders>
            <w:shd w:val="clear" w:color="auto" w:fill="auto"/>
            <w:noWrap/>
            <w:vAlign w:val="bottom"/>
            <w:hideMark/>
          </w:tcPr>
          <w:p w14:paraId="1F6F44D1" w14:textId="77777777" w:rsidR="001F27DD" w:rsidRPr="0095004E" w:rsidRDefault="001F27DD" w:rsidP="006D2DA3">
            <w:pPr>
              <w:jc w:val="right"/>
              <w:rPr>
                <w:color w:val="000000"/>
                <w:sz w:val="20"/>
                <w:szCs w:val="20"/>
              </w:rPr>
            </w:pPr>
            <w:r w:rsidRPr="0095004E">
              <w:rPr>
                <w:color w:val="000000"/>
                <w:sz w:val="20"/>
                <w:szCs w:val="20"/>
              </w:rPr>
              <w:t>7.86%</w:t>
            </w:r>
          </w:p>
        </w:tc>
        <w:tc>
          <w:tcPr>
            <w:tcW w:w="1300" w:type="dxa"/>
            <w:tcBorders>
              <w:top w:val="nil"/>
              <w:left w:val="nil"/>
              <w:bottom w:val="single" w:sz="8" w:space="0" w:color="auto"/>
              <w:right w:val="nil"/>
            </w:tcBorders>
            <w:shd w:val="clear" w:color="auto" w:fill="auto"/>
            <w:noWrap/>
            <w:vAlign w:val="bottom"/>
            <w:hideMark/>
          </w:tcPr>
          <w:p w14:paraId="0AAFC83E" w14:textId="77777777" w:rsidR="001F27DD" w:rsidRPr="0095004E" w:rsidRDefault="001F27DD" w:rsidP="006D2DA3">
            <w:pPr>
              <w:jc w:val="right"/>
              <w:rPr>
                <w:color w:val="000000"/>
                <w:sz w:val="20"/>
                <w:szCs w:val="20"/>
              </w:rPr>
            </w:pPr>
            <w:r w:rsidRPr="0095004E">
              <w:rPr>
                <w:color w:val="000000"/>
                <w:sz w:val="20"/>
                <w:szCs w:val="20"/>
              </w:rPr>
              <w:t>29.08%</w:t>
            </w:r>
          </w:p>
        </w:tc>
        <w:tc>
          <w:tcPr>
            <w:tcW w:w="1320" w:type="dxa"/>
            <w:tcBorders>
              <w:top w:val="nil"/>
              <w:left w:val="nil"/>
              <w:bottom w:val="single" w:sz="8" w:space="0" w:color="auto"/>
              <w:right w:val="nil"/>
            </w:tcBorders>
            <w:shd w:val="clear" w:color="auto" w:fill="auto"/>
            <w:noWrap/>
            <w:vAlign w:val="bottom"/>
            <w:hideMark/>
          </w:tcPr>
          <w:p w14:paraId="14A19C7C" w14:textId="77777777" w:rsidR="001F27DD" w:rsidRPr="0095004E" w:rsidRDefault="001F27DD" w:rsidP="006D2DA3">
            <w:pPr>
              <w:jc w:val="right"/>
              <w:rPr>
                <w:color w:val="000000"/>
                <w:sz w:val="20"/>
                <w:szCs w:val="20"/>
              </w:rPr>
            </w:pPr>
            <w:r w:rsidRPr="0095004E">
              <w:rPr>
                <w:color w:val="000000"/>
                <w:sz w:val="20"/>
                <w:szCs w:val="20"/>
              </w:rPr>
              <w:t>12.11%</w:t>
            </w:r>
          </w:p>
        </w:tc>
      </w:tr>
    </w:tbl>
    <w:p w14:paraId="055F5AC3" w14:textId="77777777" w:rsidR="001F27DD" w:rsidRPr="005D2287" w:rsidRDefault="001F27DD" w:rsidP="001F27DD"/>
    <w:p w14:paraId="439FF51B" w14:textId="24C4A85D" w:rsidR="001F27DD" w:rsidRDefault="001F27DD" w:rsidP="004C3670">
      <w:pPr>
        <w:rPr>
          <w:b/>
        </w:rPr>
      </w:pPr>
    </w:p>
    <w:p w14:paraId="277BB095" w14:textId="4F3211D4" w:rsidR="004D5593" w:rsidRDefault="004D5593" w:rsidP="004C3670">
      <w:pPr>
        <w:rPr>
          <w:b/>
        </w:rPr>
      </w:pPr>
    </w:p>
    <w:p w14:paraId="3C98744E" w14:textId="64663C99" w:rsidR="004C3670" w:rsidRPr="004D5593" w:rsidRDefault="004D5593" w:rsidP="004C3670">
      <w:pPr>
        <w:rPr>
          <w:b/>
          <w:sz w:val="40"/>
          <w:szCs w:val="40"/>
        </w:rPr>
      </w:pPr>
      <w:r w:rsidRPr="004D5593">
        <w:rPr>
          <w:b/>
          <w:sz w:val="40"/>
          <w:szCs w:val="40"/>
        </w:rPr>
        <w:lastRenderedPageBreak/>
        <w:t xml:space="preserve">Empirical </w:t>
      </w:r>
      <w:r w:rsidR="00397564" w:rsidRPr="004D5593">
        <w:rPr>
          <w:b/>
          <w:sz w:val="40"/>
          <w:szCs w:val="40"/>
        </w:rPr>
        <w:t>Results</w:t>
      </w:r>
    </w:p>
    <w:p w14:paraId="656E2ACE" w14:textId="77777777" w:rsidR="00CA1974" w:rsidRPr="00397564" w:rsidRDefault="00CA1974" w:rsidP="004C3670">
      <w:pPr>
        <w:rPr>
          <w:b/>
        </w:rPr>
      </w:pPr>
    </w:p>
    <w:p w14:paraId="31D19C10" w14:textId="7877052C" w:rsidR="00F6644A" w:rsidRDefault="00CA1974" w:rsidP="00F6644A">
      <w:pPr>
        <w:spacing w:line="480" w:lineRule="auto"/>
        <w:ind w:firstLine="720"/>
      </w:pPr>
      <w:r>
        <w:t xml:space="preserve">We answer the question “is the </w:t>
      </w:r>
      <w:r w:rsidRPr="00CA1974">
        <w:t xml:space="preserve">Fama-French </w:t>
      </w:r>
      <w:r>
        <w:t>t</w:t>
      </w:r>
      <w:r w:rsidRPr="00CA1974">
        <w:t xml:space="preserve">hree </w:t>
      </w:r>
      <w:r>
        <w:t>f</w:t>
      </w:r>
      <w:r w:rsidRPr="00CA1974">
        <w:t xml:space="preserve">actor </w:t>
      </w:r>
      <w:r>
        <w:t>m</w:t>
      </w:r>
      <w:r w:rsidRPr="00CA1974">
        <w:t xml:space="preserve">odel </w:t>
      </w:r>
      <w:r>
        <w:t>r</w:t>
      </w:r>
      <w:r w:rsidRPr="00CA1974">
        <w:t>elevant for Asia?</w:t>
      </w:r>
      <w:r>
        <w:t>” in three steps</w:t>
      </w:r>
      <w:r w:rsidR="00344FF9">
        <w:t xml:space="preserve">: </w:t>
      </w:r>
      <w:r w:rsidR="00344FF9">
        <w:rPr>
          <w:rFonts w:hint="eastAsia"/>
        </w:rPr>
        <w:t>returns</w:t>
      </w:r>
      <w:r w:rsidR="00344FF9">
        <w:t xml:space="preserve">, factors and coefficient betas. </w:t>
      </w:r>
    </w:p>
    <w:p w14:paraId="7BB68214" w14:textId="052BD320" w:rsidR="00F111DB" w:rsidRDefault="00165CE8" w:rsidP="00344FF9">
      <w:pPr>
        <w:spacing w:line="480" w:lineRule="auto"/>
        <w:ind w:firstLine="720"/>
      </w:pPr>
      <w:r>
        <w:t>In the general overview</w:t>
      </w:r>
      <w:r w:rsidR="00E61FB7">
        <w:t xml:space="preserve"> (Table 8-12)</w:t>
      </w:r>
      <w:r>
        <w:t xml:space="preserve">, </w:t>
      </w:r>
      <w:r w:rsidR="006A1BD7">
        <w:t>R-squared values of the Fama-French three factor models</w:t>
      </w:r>
      <w:bookmarkStart w:id="23" w:name="OLE_LINK66"/>
      <w:r w:rsidR="006A1BD7">
        <w:t xml:space="preserve"> for each of the five areas </w:t>
      </w:r>
      <w:bookmarkEnd w:id="23"/>
      <w:r w:rsidR="006A1BD7">
        <w:t xml:space="preserve">are </w:t>
      </w:r>
      <w:r w:rsidR="00832AB8">
        <w:t xml:space="preserve">absolutely high, ranging from 87.64 percent to 99.17 percent. The R-squared of the five regressions have an average value of 95.94 percent, implying that </w:t>
      </w:r>
      <w:r w:rsidR="00832AB8" w:rsidRPr="00496227">
        <w:t>the</w:t>
      </w:r>
      <w:bookmarkStart w:id="24" w:name="OLE_LINK65"/>
      <w:r w:rsidR="00832AB8" w:rsidRPr="00496227">
        <w:t xml:space="preserve"> Fama-French three factor model </w:t>
      </w:r>
      <w:r w:rsidR="00DE1421" w:rsidRPr="00496227">
        <w:t xml:space="preserve">indeed </w:t>
      </w:r>
      <w:r w:rsidR="00832AB8" w:rsidRPr="00496227">
        <w:t xml:space="preserve">explain cross-sectional variations in </w:t>
      </w:r>
      <w:r w:rsidR="001917B5" w:rsidRPr="00496227">
        <w:t xml:space="preserve">portfolio </w:t>
      </w:r>
      <w:r w:rsidR="00832AB8" w:rsidRPr="00496227">
        <w:t>returns</w:t>
      </w:r>
      <w:bookmarkEnd w:id="24"/>
      <w:r w:rsidR="00832AB8" w:rsidRPr="00496227">
        <w:t xml:space="preserve">. We can also see the explanatory power </w:t>
      </w:r>
      <w:r w:rsidR="001917B5" w:rsidRPr="00496227">
        <w:t xml:space="preserve">of the three-factor model from the regression intercept. Theoretically, the intercepts of the time series regressions will tend to zero if the model can satisfactorily explain changes in expected returns. Seen from </w:t>
      </w:r>
      <w:r w:rsidR="00601989" w:rsidRPr="00496227">
        <w:t>Figure 3</w:t>
      </w:r>
      <w:r w:rsidR="001917B5" w:rsidRPr="00496227">
        <w:t xml:space="preserve">, </w:t>
      </w:r>
      <w:r w:rsidR="00146BD8" w:rsidRPr="00496227">
        <w:t xml:space="preserve">the intercept values vary from -0.0279 to 0.3818. The values of intercepts for Singapore, Hong Kong and South Korea are relatively low, -0.0279, 0.0694 and 0.2577 separately. Also, </w:t>
      </w:r>
      <w:bookmarkStart w:id="25" w:name="OLE_LINK69"/>
      <w:bookmarkStart w:id="26" w:name="OLE_LINK70"/>
      <w:r w:rsidR="00146BD8" w:rsidRPr="00496227">
        <w:t xml:space="preserve">the t-statistics are insignificant for these three areas, showing that </w:t>
      </w:r>
      <w:bookmarkStart w:id="27" w:name="OLE_LINK67"/>
      <w:bookmarkStart w:id="28" w:name="OLE_LINK68"/>
      <w:r w:rsidR="00146BD8" w:rsidRPr="00496227">
        <w:t xml:space="preserve">the </w:t>
      </w:r>
      <w:r w:rsidR="00DE1421" w:rsidRPr="00496227">
        <w:t>three factor</w:t>
      </w:r>
      <w:r w:rsidR="00601989" w:rsidRPr="00496227">
        <w:t>s</w:t>
      </w:r>
      <w:r w:rsidR="00146BD8" w:rsidRPr="00496227">
        <w:t xml:space="preserve"> model </w:t>
      </w:r>
      <w:r w:rsidR="00DE1421" w:rsidRPr="00496227">
        <w:t>does reflect the most variations in returns.</w:t>
      </w:r>
      <w:r w:rsidR="00DE1421">
        <w:t xml:space="preserve"> </w:t>
      </w:r>
      <w:bookmarkEnd w:id="25"/>
      <w:bookmarkEnd w:id="26"/>
      <w:bookmarkEnd w:id="27"/>
      <w:bookmarkEnd w:id="28"/>
      <w:r w:rsidR="00DE1421">
        <w:t xml:space="preserve">Comparatively, the intercept values for China and India are 0.3818 and 0.3024 correspondingly and are significant at the 1 percent level. </w:t>
      </w:r>
    </w:p>
    <w:p w14:paraId="7D4F1FBA" w14:textId="77777777" w:rsidR="00344FF9" w:rsidRDefault="00344FF9" w:rsidP="00344FF9">
      <w:pPr>
        <w:spacing w:line="480" w:lineRule="auto"/>
        <w:ind w:firstLine="720"/>
      </w:pPr>
    </w:p>
    <w:p w14:paraId="4E1FEECE" w14:textId="4C6B895A" w:rsidR="00F111DB" w:rsidRPr="00F111DB" w:rsidRDefault="00F111DB" w:rsidP="00F111DB">
      <w:pPr>
        <w:rPr>
          <w:b/>
          <w:bCs/>
        </w:rPr>
      </w:pPr>
      <w:bookmarkStart w:id="29" w:name="OLE_LINK96"/>
      <w:bookmarkStart w:id="30" w:name="OLE_LINK97"/>
      <w:r w:rsidRPr="0095004E">
        <w:rPr>
          <w:b/>
          <w:bCs/>
        </w:rPr>
        <w:t xml:space="preserve">Table </w:t>
      </w:r>
      <w:r>
        <w:rPr>
          <w:b/>
          <w:bCs/>
        </w:rPr>
        <w:t>8</w:t>
      </w:r>
      <w:r w:rsidRPr="0095004E">
        <w:rPr>
          <w:b/>
          <w:bCs/>
        </w:rPr>
        <w:t xml:space="preserve">: </w:t>
      </w:r>
      <w:r>
        <w:rPr>
          <w:b/>
          <w:bCs/>
        </w:rPr>
        <w:t xml:space="preserve">Regression Result </w:t>
      </w:r>
      <w:r w:rsidR="00E61FB7">
        <w:rPr>
          <w:b/>
          <w:bCs/>
        </w:rPr>
        <w:t>for China</w:t>
      </w:r>
    </w:p>
    <w:tbl>
      <w:tblPr>
        <w:tblW w:w="7500" w:type="dxa"/>
        <w:tblLook w:val="04A0" w:firstRow="1" w:lastRow="0" w:firstColumn="1" w:lastColumn="0" w:noHBand="0" w:noVBand="1"/>
      </w:tblPr>
      <w:tblGrid>
        <w:gridCol w:w="7500"/>
      </w:tblGrid>
      <w:tr w:rsidR="00F111DB" w14:paraId="7AFA8603" w14:textId="77777777" w:rsidTr="00F111DB">
        <w:trPr>
          <w:trHeight w:val="320"/>
        </w:trPr>
        <w:tc>
          <w:tcPr>
            <w:tcW w:w="7500" w:type="dxa"/>
            <w:tcBorders>
              <w:top w:val="single" w:sz="8" w:space="0" w:color="auto"/>
              <w:left w:val="single" w:sz="8" w:space="0" w:color="auto"/>
              <w:bottom w:val="nil"/>
              <w:right w:val="single" w:sz="8" w:space="0" w:color="auto"/>
            </w:tcBorders>
            <w:shd w:val="clear" w:color="auto" w:fill="auto"/>
            <w:noWrap/>
            <w:vAlign w:val="bottom"/>
            <w:hideMark/>
          </w:tcPr>
          <w:p w14:paraId="778D18BA" w14:textId="77777777" w:rsidR="00F111DB" w:rsidRDefault="00F111DB" w:rsidP="00E61FB7">
            <w:pPr>
              <w:rPr>
                <w:rFonts w:ascii="Courier New" w:hAnsi="Courier New" w:cs="Courier New"/>
                <w:color w:val="000000"/>
                <w:sz w:val="20"/>
                <w:szCs w:val="20"/>
              </w:rPr>
            </w:pPr>
            <w:bookmarkStart w:id="31" w:name="OLE_LINK90"/>
            <w:bookmarkStart w:id="32" w:name="OLE_LINK91"/>
            <w:bookmarkEnd w:id="29"/>
            <w:bookmarkEnd w:id="30"/>
            <w:r w:rsidRPr="00C31036">
              <w:rPr>
                <w:rFonts w:ascii="Courier New" w:hAnsi="Courier New" w:cs="Courier New"/>
                <w:b/>
                <w:bCs/>
                <w:color w:val="000000"/>
                <w:sz w:val="20"/>
                <w:szCs w:val="20"/>
              </w:rPr>
              <w:t>China</w:t>
            </w:r>
            <w:r>
              <w:rPr>
                <w:rFonts w:ascii="Courier New" w:hAnsi="Courier New" w:cs="Courier New"/>
                <w:color w:val="000000"/>
                <w:sz w:val="20"/>
                <w:szCs w:val="20"/>
              </w:rPr>
              <w:t>: 2005 - 2012</w:t>
            </w:r>
          </w:p>
        </w:tc>
      </w:tr>
      <w:tr w:rsidR="00F111DB" w14:paraId="6A329D10" w14:textId="77777777" w:rsidTr="00F111DB">
        <w:trPr>
          <w:trHeight w:val="340"/>
        </w:trPr>
        <w:tc>
          <w:tcPr>
            <w:tcW w:w="7500" w:type="dxa"/>
            <w:tcBorders>
              <w:top w:val="nil"/>
              <w:left w:val="single" w:sz="8" w:space="0" w:color="auto"/>
              <w:bottom w:val="nil"/>
              <w:right w:val="single" w:sz="8" w:space="0" w:color="auto"/>
            </w:tcBorders>
            <w:shd w:val="clear" w:color="auto" w:fill="auto"/>
            <w:noWrap/>
            <w:vAlign w:val="bottom"/>
            <w:hideMark/>
          </w:tcPr>
          <w:p w14:paraId="77F41766" w14:textId="77777777" w:rsidR="00F111DB" w:rsidRDefault="00F111DB" w:rsidP="00E61FB7">
            <w:pPr>
              <w:rPr>
                <w:rFonts w:ascii="Courier New" w:hAnsi="Courier New" w:cs="Courier New"/>
                <w:color w:val="000000"/>
                <w:sz w:val="20"/>
                <w:szCs w:val="20"/>
              </w:rPr>
            </w:pPr>
            <w:r>
              <w:rPr>
                <w:rFonts w:ascii="Courier New" w:hAnsi="Courier New" w:cs="Courier New"/>
                <w:color w:val="000000"/>
                <w:sz w:val="20"/>
                <w:szCs w:val="20"/>
              </w:rPr>
              <w:t>Adjusted R-squared: 0.9559</w:t>
            </w:r>
          </w:p>
        </w:tc>
      </w:tr>
      <w:tr w:rsidR="00F111DB" w14:paraId="17B56910" w14:textId="77777777" w:rsidTr="00F111DB">
        <w:trPr>
          <w:trHeight w:val="340"/>
        </w:trPr>
        <w:tc>
          <w:tcPr>
            <w:tcW w:w="7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2C05624"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                   Value  Std. Error t value Pr(&gt;|t|)    </w:t>
            </w:r>
          </w:p>
        </w:tc>
      </w:tr>
      <w:tr w:rsidR="00F111DB" w14:paraId="13FE835D" w14:textId="77777777" w:rsidTr="00F111DB">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258C5751"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(Intercept)      0.38178    0.21595   1.768   0.0804 .  </w:t>
            </w:r>
          </w:p>
        </w:tc>
      </w:tr>
      <w:tr w:rsidR="00F111DB" w14:paraId="3F22E6C5" w14:textId="77777777" w:rsidTr="00F111DB">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26023E75"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Book to market  -0.04618    0.17309  -0.267   0.7902    </w:t>
            </w:r>
          </w:p>
        </w:tc>
      </w:tr>
      <w:tr w:rsidR="00F111DB" w14:paraId="33A74244" w14:textId="77777777" w:rsidTr="00F111DB">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38FBEC5B" w14:textId="471ED8F5"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Size            -0.12172    0.12737  -0.956   0.3417    </w:t>
            </w:r>
          </w:p>
        </w:tc>
      </w:tr>
      <w:tr w:rsidR="00F111DB" w14:paraId="231DBBCB" w14:textId="77777777" w:rsidTr="00F111DB">
        <w:trPr>
          <w:trHeight w:val="340"/>
        </w:trPr>
        <w:tc>
          <w:tcPr>
            <w:tcW w:w="7500" w:type="dxa"/>
            <w:tcBorders>
              <w:top w:val="nil"/>
              <w:left w:val="single" w:sz="8" w:space="0" w:color="auto"/>
              <w:bottom w:val="single" w:sz="8" w:space="0" w:color="auto"/>
              <w:right w:val="single" w:sz="8" w:space="0" w:color="auto"/>
            </w:tcBorders>
            <w:shd w:val="clear" w:color="auto" w:fill="auto"/>
            <w:noWrap/>
            <w:vAlign w:val="bottom"/>
            <w:hideMark/>
          </w:tcPr>
          <w:p w14:paraId="32A5F110"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Beta             2.54027    0.05492  46.256   &lt;2e-16 ***</w:t>
            </w:r>
          </w:p>
        </w:tc>
      </w:tr>
      <w:bookmarkEnd w:id="31"/>
      <w:bookmarkEnd w:id="32"/>
    </w:tbl>
    <w:p w14:paraId="46BA3170" w14:textId="67BA773A" w:rsidR="00F111DB" w:rsidRDefault="00F111DB" w:rsidP="00F111DB"/>
    <w:p w14:paraId="777CE18E" w14:textId="72489BD7" w:rsidR="00F111DB" w:rsidRDefault="00F111DB" w:rsidP="00F111DB"/>
    <w:p w14:paraId="668F7A1E" w14:textId="294CCA36" w:rsidR="00F111DB" w:rsidRDefault="00F111DB" w:rsidP="00F111DB"/>
    <w:p w14:paraId="01F63005" w14:textId="77777777" w:rsidR="00F111DB" w:rsidRDefault="00F111DB" w:rsidP="00F111DB"/>
    <w:p w14:paraId="70077598" w14:textId="07ABD126" w:rsidR="00F111DB" w:rsidRPr="00F111DB" w:rsidRDefault="00F111DB" w:rsidP="00F111DB">
      <w:pPr>
        <w:rPr>
          <w:b/>
          <w:bCs/>
        </w:rPr>
      </w:pPr>
      <w:r w:rsidRPr="0095004E">
        <w:rPr>
          <w:b/>
          <w:bCs/>
        </w:rPr>
        <w:lastRenderedPageBreak/>
        <w:t xml:space="preserve">Table </w:t>
      </w:r>
      <w:r>
        <w:rPr>
          <w:b/>
          <w:bCs/>
        </w:rPr>
        <w:t>9</w:t>
      </w:r>
      <w:r w:rsidRPr="0095004E">
        <w:rPr>
          <w:b/>
          <w:bCs/>
        </w:rPr>
        <w:t xml:space="preserve">: </w:t>
      </w:r>
      <w:r>
        <w:rPr>
          <w:b/>
          <w:bCs/>
        </w:rPr>
        <w:t xml:space="preserve">Regression Result </w:t>
      </w:r>
      <w:r w:rsidR="00E61FB7">
        <w:rPr>
          <w:b/>
          <w:bCs/>
        </w:rPr>
        <w:t>for India</w:t>
      </w:r>
    </w:p>
    <w:tbl>
      <w:tblPr>
        <w:tblW w:w="7500" w:type="dxa"/>
        <w:tblLook w:val="04A0" w:firstRow="1" w:lastRow="0" w:firstColumn="1" w:lastColumn="0" w:noHBand="0" w:noVBand="1"/>
      </w:tblPr>
      <w:tblGrid>
        <w:gridCol w:w="7500"/>
      </w:tblGrid>
      <w:tr w:rsidR="00F111DB" w14:paraId="06024A18" w14:textId="77777777" w:rsidTr="00E61FB7">
        <w:trPr>
          <w:trHeight w:val="320"/>
        </w:trPr>
        <w:tc>
          <w:tcPr>
            <w:tcW w:w="7500" w:type="dxa"/>
            <w:tcBorders>
              <w:top w:val="single" w:sz="8" w:space="0" w:color="auto"/>
              <w:left w:val="single" w:sz="8" w:space="0" w:color="auto"/>
              <w:bottom w:val="nil"/>
              <w:right w:val="single" w:sz="8" w:space="0" w:color="auto"/>
            </w:tcBorders>
            <w:shd w:val="clear" w:color="auto" w:fill="auto"/>
            <w:noWrap/>
            <w:vAlign w:val="bottom"/>
            <w:hideMark/>
          </w:tcPr>
          <w:p w14:paraId="6937353D" w14:textId="77777777" w:rsidR="00F111DB" w:rsidRDefault="00F111DB" w:rsidP="00E61FB7">
            <w:pPr>
              <w:rPr>
                <w:rFonts w:ascii="Courier New" w:hAnsi="Courier New" w:cs="Courier New"/>
                <w:color w:val="000000"/>
                <w:sz w:val="20"/>
                <w:szCs w:val="20"/>
              </w:rPr>
            </w:pPr>
            <w:r w:rsidRPr="00C31036">
              <w:rPr>
                <w:rFonts w:ascii="Courier New" w:hAnsi="Courier New" w:cs="Courier New"/>
                <w:b/>
                <w:bCs/>
                <w:color w:val="000000"/>
                <w:sz w:val="20"/>
                <w:szCs w:val="20"/>
              </w:rPr>
              <w:t>India</w:t>
            </w:r>
            <w:r>
              <w:rPr>
                <w:rFonts w:ascii="Courier New" w:hAnsi="Courier New" w:cs="Courier New"/>
                <w:color w:val="000000"/>
                <w:sz w:val="20"/>
                <w:szCs w:val="20"/>
              </w:rPr>
              <w:t>: 2005 - 2012</w:t>
            </w:r>
          </w:p>
        </w:tc>
      </w:tr>
      <w:tr w:rsidR="00F111DB" w14:paraId="77D03BB0" w14:textId="77777777" w:rsidTr="00E61FB7">
        <w:trPr>
          <w:trHeight w:val="340"/>
        </w:trPr>
        <w:tc>
          <w:tcPr>
            <w:tcW w:w="7500" w:type="dxa"/>
            <w:tcBorders>
              <w:top w:val="nil"/>
              <w:left w:val="single" w:sz="8" w:space="0" w:color="auto"/>
              <w:bottom w:val="nil"/>
              <w:right w:val="single" w:sz="8" w:space="0" w:color="auto"/>
            </w:tcBorders>
            <w:shd w:val="clear" w:color="auto" w:fill="auto"/>
            <w:noWrap/>
            <w:vAlign w:val="bottom"/>
            <w:hideMark/>
          </w:tcPr>
          <w:p w14:paraId="20E12189" w14:textId="77777777" w:rsidR="00F111DB" w:rsidRDefault="00F111DB" w:rsidP="00E61FB7">
            <w:pPr>
              <w:rPr>
                <w:rFonts w:ascii="Courier New" w:hAnsi="Courier New" w:cs="Courier New"/>
                <w:color w:val="000000"/>
                <w:sz w:val="20"/>
                <w:szCs w:val="20"/>
              </w:rPr>
            </w:pPr>
            <w:r>
              <w:rPr>
                <w:rFonts w:ascii="Courier New" w:hAnsi="Courier New" w:cs="Courier New"/>
                <w:color w:val="000000"/>
                <w:sz w:val="20"/>
                <w:szCs w:val="20"/>
              </w:rPr>
              <w:t>Adjusted R-squared: 0.9912</w:t>
            </w:r>
          </w:p>
        </w:tc>
      </w:tr>
      <w:tr w:rsidR="00F111DB" w14:paraId="247F4050" w14:textId="77777777" w:rsidTr="00E61FB7">
        <w:trPr>
          <w:trHeight w:val="340"/>
        </w:trPr>
        <w:tc>
          <w:tcPr>
            <w:tcW w:w="7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A8ED49D"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                   Value  Std. Error t value Pr(&gt;|t|)    </w:t>
            </w:r>
          </w:p>
        </w:tc>
      </w:tr>
      <w:tr w:rsidR="00F111DB" w14:paraId="783A461A"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40D2F628"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(Intercept)      0.30239    0.08717   3.469 0.000797 ***</w:t>
            </w:r>
          </w:p>
        </w:tc>
      </w:tr>
      <w:tr w:rsidR="00F111DB" w14:paraId="17513D81"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6EA05106"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Book to market   0.33768    0.16594   2.035 0.044730 *  </w:t>
            </w:r>
          </w:p>
        </w:tc>
      </w:tr>
      <w:tr w:rsidR="00F111DB" w14:paraId="070E769F"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22B14E1D"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Size            -0.21685    0.10878  -1.993 0.049170 *  </w:t>
            </w:r>
          </w:p>
        </w:tc>
      </w:tr>
      <w:tr w:rsidR="00F111DB" w14:paraId="235C782A" w14:textId="77777777" w:rsidTr="00E61FB7">
        <w:trPr>
          <w:trHeight w:val="340"/>
        </w:trPr>
        <w:tc>
          <w:tcPr>
            <w:tcW w:w="7500" w:type="dxa"/>
            <w:tcBorders>
              <w:top w:val="nil"/>
              <w:left w:val="single" w:sz="8" w:space="0" w:color="auto"/>
              <w:bottom w:val="single" w:sz="8" w:space="0" w:color="auto"/>
              <w:right w:val="single" w:sz="8" w:space="0" w:color="auto"/>
            </w:tcBorders>
            <w:shd w:val="clear" w:color="auto" w:fill="auto"/>
            <w:noWrap/>
            <w:vAlign w:val="bottom"/>
            <w:hideMark/>
          </w:tcPr>
          <w:p w14:paraId="50E95B32"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Beta             6.47340    0.06750  95.902  &lt; 2e-16 ***</w:t>
            </w:r>
          </w:p>
        </w:tc>
      </w:tr>
    </w:tbl>
    <w:p w14:paraId="5528E29F" w14:textId="77777777" w:rsidR="00F111DB" w:rsidRDefault="00F111DB" w:rsidP="00F111DB"/>
    <w:p w14:paraId="1C8AC50E" w14:textId="61DFDDC7" w:rsidR="00F111DB" w:rsidRPr="00F111DB" w:rsidRDefault="00F111DB" w:rsidP="00F111DB">
      <w:pPr>
        <w:rPr>
          <w:b/>
          <w:bCs/>
        </w:rPr>
      </w:pPr>
      <w:r w:rsidRPr="0095004E">
        <w:rPr>
          <w:b/>
          <w:bCs/>
        </w:rPr>
        <w:t xml:space="preserve">Table </w:t>
      </w:r>
      <w:r>
        <w:rPr>
          <w:b/>
          <w:bCs/>
        </w:rPr>
        <w:t>10</w:t>
      </w:r>
      <w:r w:rsidRPr="0095004E">
        <w:rPr>
          <w:b/>
          <w:bCs/>
        </w:rPr>
        <w:t xml:space="preserve">: </w:t>
      </w:r>
      <w:r>
        <w:rPr>
          <w:b/>
          <w:bCs/>
        </w:rPr>
        <w:t xml:space="preserve">Regression Result </w:t>
      </w:r>
      <w:r w:rsidR="00E61FB7">
        <w:rPr>
          <w:b/>
          <w:bCs/>
        </w:rPr>
        <w:t>for South Korea</w:t>
      </w:r>
    </w:p>
    <w:tbl>
      <w:tblPr>
        <w:tblW w:w="7500" w:type="dxa"/>
        <w:tblLook w:val="04A0" w:firstRow="1" w:lastRow="0" w:firstColumn="1" w:lastColumn="0" w:noHBand="0" w:noVBand="1"/>
      </w:tblPr>
      <w:tblGrid>
        <w:gridCol w:w="7500"/>
      </w:tblGrid>
      <w:tr w:rsidR="00F111DB" w14:paraId="7CB3E681" w14:textId="77777777" w:rsidTr="00E61FB7">
        <w:trPr>
          <w:trHeight w:val="320"/>
        </w:trPr>
        <w:tc>
          <w:tcPr>
            <w:tcW w:w="7500" w:type="dxa"/>
            <w:tcBorders>
              <w:top w:val="single" w:sz="8" w:space="0" w:color="auto"/>
              <w:left w:val="single" w:sz="8" w:space="0" w:color="auto"/>
              <w:bottom w:val="nil"/>
              <w:right w:val="single" w:sz="8" w:space="0" w:color="auto"/>
            </w:tcBorders>
            <w:shd w:val="clear" w:color="auto" w:fill="auto"/>
            <w:noWrap/>
            <w:vAlign w:val="bottom"/>
            <w:hideMark/>
          </w:tcPr>
          <w:p w14:paraId="12B67504" w14:textId="77777777" w:rsidR="00F111DB" w:rsidRDefault="00F111DB" w:rsidP="00E61FB7">
            <w:pPr>
              <w:rPr>
                <w:rFonts w:ascii="Courier New" w:hAnsi="Courier New" w:cs="Courier New"/>
                <w:color w:val="000000"/>
                <w:sz w:val="20"/>
                <w:szCs w:val="20"/>
              </w:rPr>
            </w:pPr>
            <w:r w:rsidRPr="00C31036">
              <w:rPr>
                <w:rFonts w:ascii="Courier New" w:hAnsi="Courier New" w:cs="Courier New"/>
                <w:b/>
                <w:bCs/>
                <w:color w:val="000000"/>
                <w:sz w:val="20"/>
                <w:szCs w:val="20"/>
              </w:rPr>
              <w:t>South Korea</w:t>
            </w:r>
            <w:r>
              <w:rPr>
                <w:rFonts w:ascii="Courier New" w:hAnsi="Courier New" w:cs="Courier New"/>
                <w:color w:val="000000"/>
                <w:sz w:val="20"/>
                <w:szCs w:val="20"/>
              </w:rPr>
              <w:t>: 2005 - 2012</w:t>
            </w:r>
          </w:p>
        </w:tc>
      </w:tr>
      <w:tr w:rsidR="00F111DB" w14:paraId="12D39F08" w14:textId="77777777" w:rsidTr="00E61FB7">
        <w:trPr>
          <w:trHeight w:val="340"/>
        </w:trPr>
        <w:tc>
          <w:tcPr>
            <w:tcW w:w="7500" w:type="dxa"/>
            <w:tcBorders>
              <w:top w:val="nil"/>
              <w:left w:val="single" w:sz="8" w:space="0" w:color="auto"/>
              <w:bottom w:val="nil"/>
              <w:right w:val="single" w:sz="8" w:space="0" w:color="auto"/>
            </w:tcBorders>
            <w:shd w:val="clear" w:color="auto" w:fill="auto"/>
            <w:noWrap/>
            <w:vAlign w:val="bottom"/>
            <w:hideMark/>
          </w:tcPr>
          <w:p w14:paraId="1C9ECAB7" w14:textId="77777777" w:rsidR="00F111DB" w:rsidRDefault="00F111DB" w:rsidP="00E61FB7">
            <w:pPr>
              <w:rPr>
                <w:rFonts w:ascii="Courier New" w:hAnsi="Courier New" w:cs="Courier New"/>
                <w:color w:val="000000"/>
                <w:sz w:val="20"/>
                <w:szCs w:val="20"/>
              </w:rPr>
            </w:pPr>
            <w:r>
              <w:rPr>
                <w:rFonts w:ascii="Courier New" w:hAnsi="Courier New" w:cs="Courier New"/>
                <w:color w:val="000000"/>
                <w:sz w:val="20"/>
                <w:szCs w:val="20"/>
              </w:rPr>
              <w:t>Adjusted R-squared: 0.8764</w:t>
            </w:r>
          </w:p>
        </w:tc>
      </w:tr>
      <w:tr w:rsidR="00F111DB" w14:paraId="265AF4D1" w14:textId="77777777" w:rsidTr="00E61FB7">
        <w:trPr>
          <w:trHeight w:val="340"/>
        </w:trPr>
        <w:tc>
          <w:tcPr>
            <w:tcW w:w="7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88B37F"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                   Value  Std. Error t value Pr(&gt;|t|)    </w:t>
            </w:r>
          </w:p>
        </w:tc>
      </w:tr>
      <w:tr w:rsidR="00F111DB" w14:paraId="553165E3"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0A6EBC10"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(Intercept)      0.2577     0.2429   1.061  0.29145    </w:t>
            </w:r>
          </w:p>
        </w:tc>
      </w:tr>
      <w:tr w:rsidR="00F111DB" w14:paraId="27CE051A"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631E9885"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Book to market   0.1209     0.3789   0.319  0.75046    </w:t>
            </w:r>
          </w:p>
        </w:tc>
      </w:tr>
      <w:tr w:rsidR="00F111DB" w14:paraId="00AF8111"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25A687AB"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Size            -0.8913     0.3176  -2.807  0.00611 ** </w:t>
            </w:r>
          </w:p>
        </w:tc>
      </w:tr>
      <w:tr w:rsidR="00F111DB" w14:paraId="100A0DB6" w14:textId="77777777" w:rsidTr="00E61FB7">
        <w:trPr>
          <w:trHeight w:val="340"/>
        </w:trPr>
        <w:tc>
          <w:tcPr>
            <w:tcW w:w="7500" w:type="dxa"/>
            <w:tcBorders>
              <w:top w:val="nil"/>
              <w:left w:val="single" w:sz="8" w:space="0" w:color="auto"/>
              <w:bottom w:val="single" w:sz="8" w:space="0" w:color="auto"/>
              <w:right w:val="single" w:sz="8" w:space="0" w:color="auto"/>
            </w:tcBorders>
            <w:shd w:val="clear" w:color="auto" w:fill="auto"/>
            <w:noWrap/>
            <w:vAlign w:val="bottom"/>
            <w:hideMark/>
          </w:tcPr>
          <w:p w14:paraId="67F729C3"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Beta             6.8854     0.2695  25.546  &lt; 2e-16 ***</w:t>
            </w:r>
          </w:p>
        </w:tc>
      </w:tr>
    </w:tbl>
    <w:p w14:paraId="20EAE290" w14:textId="77777777" w:rsidR="00F111DB" w:rsidRDefault="00F111DB" w:rsidP="00F111DB"/>
    <w:p w14:paraId="6E0266E2" w14:textId="7B79986C" w:rsidR="00F111DB" w:rsidRPr="00F111DB" w:rsidRDefault="00F111DB" w:rsidP="00F111DB">
      <w:pPr>
        <w:rPr>
          <w:b/>
          <w:bCs/>
        </w:rPr>
      </w:pPr>
      <w:r w:rsidRPr="0095004E">
        <w:rPr>
          <w:b/>
          <w:bCs/>
        </w:rPr>
        <w:t>Table</w:t>
      </w:r>
      <w:r>
        <w:rPr>
          <w:b/>
          <w:bCs/>
        </w:rPr>
        <w:t xml:space="preserve"> 11</w:t>
      </w:r>
      <w:r w:rsidRPr="0095004E">
        <w:rPr>
          <w:b/>
          <w:bCs/>
        </w:rPr>
        <w:t xml:space="preserve">: </w:t>
      </w:r>
      <w:r>
        <w:rPr>
          <w:b/>
          <w:bCs/>
        </w:rPr>
        <w:t xml:space="preserve">Regression Result </w:t>
      </w:r>
      <w:r w:rsidR="00E61FB7">
        <w:rPr>
          <w:b/>
          <w:bCs/>
        </w:rPr>
        <w:t>for Singapore</w:t>
      </w:r>
    </w:p>
    <w:tbl>
      <w:tblPr>
        <w:tblW w:w="7500" w:type="dxa"/>
        <w:tblLook w:val="04A0" w:firstRow="1" w:lastRow="0" w:firstColumn="1" w:lastColumn="0" w:noHBand="0" w:noVBand="1"/>
      </w:tblPr>
      <w:tblGrid>
        <w:gridCol w:w="7500"/>
      </w:tblGrid>
      <w:tr w:rsidR="00F111DB" w14:paraId="2A4F9731" w14:textId="77777777" w:rsidTr="00E61FB7">
        <w:trPr>
          <w:trHeight w:val="320"/>
        </w:trPr>
        <w:tc>
          <w:tcPr>
            <w:tcW w:w="7500" w:type="dxa"/>
            <w:tcBorders>
              <w:top w:val="single" w:sz="8" w:space="0" w:color="auto"/>
              <w:left w:val="single" w:sz="8" w:space="0" w:color="auto"/>
              <w:bottom w:val="nil"/>
              <w:right w:val="single" w:sz="8" w:space="0" w:color="auto"/>
            </w:tcBorders>
            <w:shd w:val="clear" w:color="auto" w:fill="auto"/>
            <w:noWrap/>
            <w:vAlign w:val="bottom"/>
            <w:hideMark/>
          </w:tcPr>
          <w:p w14:paraId="6D31CB42" w14:textId="77777777" w:rsidR="00F111DB" w:rsidRDefault="00F111DB" w:rsidP="00E61FB7">
            <w:pPr>
              <w:rPr>
                <w:rFonts w:ascii="Courier New" w:hAnsi="Courier New" w:cs="Courier New"/>
                <w:color w:val="000000"/>
                <w:sz w:val="20"/>
                <w:szCs w:val="20"/>
              </w:rPr>
            </w:pPr>
            <w:r w:rsidRPr="00C31036">
              <w:rPr>
                <w:rFonts w:ascii="Courier New" w:hAnsi="Courier New" w:cs="Courier New"/>
                <w:b/>
                <w:bCs/>
                <w:color w:val="000000"/>
                <w:sz w:val="20"/>
                <w:szCs w:val="20"/>
              </w:rPr>
              <w:t>Singapore</w:t>
            </w:r>
            <w:r>
              <w:rPr>
                <w:rFonts w:ascii="Courier New" w:hAnsi="Courier New" w:cs="Courier New"/>
                <w:color w:val="000000"/>
                <w:sz w:val="20"/>
                <w:szCs w:val="20"/>
              </w:rPr>
              <w:t>: 2005 - 2012</w:t>
            </w:r>
          </w:p>
        </w:tc>
      </w:tr>
      <w:tr w:rsidR="00F111DB" w14:paraId="1327535C" w14:textId="77777777" w:rsidTr="00E61FB7">
        <w:trPr>
          <w:trHeight w:val="340"/>
        </w:trPr>
        <w:tc>
          <w:tcPr>
            <w:tcW w:w="7500" w:type="dxa"/>
            <w:tcBorders>
              <w:top w:val="nil"/>
              <w:left w:val="single" w:sz="8" w:space="0" w:color="auto"/>
              <w:bottom w:val="nil"/>
              <w:right w:val="single" w:sz="8" w:space="0" w:color="auto"/>
            </w:tcBorders>
            <w:shd w:val="clear" w:color="auto" w:fill="auto"/>
            <w:noWrap/>
            <w:vAlign w:val="bottom"/>
            <w:hideMark/>
          </w:tcPr>
          <w:p w14:paraId="4A680226" w14:textId="77777777" w:rsidR="00F111DB" w:rsidRDefault="00F111DB" w:rsidP="00E61FB7">
            <w:pPr>
              <w:rPr>
                <w:rFonts w:ascii="Courier New" w:hAnsi="Courier New" w:cs="Courier New"/>
                <w:color w:val="000000"/>
                <w:sz w:val="20"/>
                <w:szCs w:val="20"/>
              </w:rPr>
            </w:pPr>
            <w:r>
              <w:rPr>
                <w:rFonts w:ascii="Courier New" w:hAnsi="Courier New" w:cs="Courier New"/>
                <w:color w:val="000000"/>
                <w:sz w:val="20"/>
                <w:szCs w:val="20"/>
              </w:rPr>
              <w:t>Adjusted R-squared: 0.9818</w:t>
            </w:r>
          </w:p>
        </w:tc>
      </w:tr>
      <w:tr w:rsidR="00F111DB" w14:paraId="6185BE6A" w14:textId="77777777" w:rsidTr="00E61FB7">
        <w:trPr>
          <w:trHeight w:val="340"/>
        </w:trPr>
        <w:tc>
          <w:tcPr>
            <w:tcW w:w="7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B5A4F2"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                   Value  Std. Error t value Pr(&gt;|t|)    </w:t>
            </w:r>
          </w:p>
        </w:tc>
      </w:tr>
      <w:tr w:rsidR="00F111DB" w14:paraId="4C8381EE"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62E6D4ED"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(Intercept)     -0.02792    0.09504  -0.294    0.770    </w:t>
            </w:r>
          </w:p>
        </w:tc>
      </w:tr>
      <w:tr w:rsidR="00F111DB" w14:paraId="19CD41A1"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6C1C6EA3"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Book to market   0.45539    0.63037   0.722    0.472    </w:t>
            </w:r>
          </w:p>
        </w:tc>
      </w:tr>
      <w:tr w:rsidR="00F111DB" w14:paraId="38460E33"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725B6BDE"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Size             0.47900    0.35222   1.360    0.177    </w:t>
            </w:r>
          </w:p>
        </w:tc>
      </w:tr>
      <w:tr w:rsidR="00F111DB" w14:paraId="518CDA60" w14:textId="77777777" w:rsidTr="00E61FB7">
        <w:trPr>
          <w:trHeight w:val="340"/>
        </w:trPr>
        <w:tc>
          <w:tcPr>
            <w:tcW w:w="7500" w:type="dxa"/>
            <w:tcBorders>
              <w:top w:val="nil"/>
              <w:left w:val="single" w:sz="8" w:space="0" w:color="auto"/>
              <w:bottom w:val="single" w:sz="8" w:space="0" w:color="auto"/>
              <w:right w:val="single" w:sz="8" w:space="0" w:color="auto"/>
            </w:tcBorders>
            <w:shd w:val="clear" w:color="auto" w:fill="auto"/>
            <w:noWrap/>
            <w:vAlign w:val="bottom"/>
            <w:hideMark/>
          </w:tcPr>
          <w:p w14:paraId="729B7964"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Beta             16.02197    0.22883  70.016   &lt;2e-16 ***</w:t>
            </w:r>
          </w:p>
        </w:tc>
      </w:tr>
    </w:tbl>
    <w:p w14:paraId="2D4F882F" w14:textId="77777777" w:rsidR="00F111DB" w:rsidRDefault="00F111DB" w:rsidP="00F111DB"/>
    <w:p w14:paraId="5F283862" w14:textId="59A3256B" w:rsidR="00F111DB" w:rsidRPr="00F111DB" w:rsidRDefault="00F111DB" w:rsidP="00F111DB">
      <w:pPr>
        <w:rPr>
          <w:b/>
          <w:bCs/>
        </w:rPr>
      </w:pPr>
      <w:r w:rsidRPr="0095004E">
        <w:rPr>
          <w:b/>
          <w:bCs/>
        </w:rPr>
        <w:t xml:space="preserve">Table </w:t>
      </w:r>
      <w:r>
        <w:rPr>
          <w:b/>
          <w:bCs/>
        </w:rPr>
        <w:t>12</w:t>
      </w:r>
      <w:r w:rsidRPr="0095004E">
        <w:rPr>
          <w:b/>
          <w:bCs/>
        </w:rPr>
        <w:t xml:space="preserve">: </w:t>
      </w:r>
      <w:r>
        <w:rPr>
          <w:b/>
          <w:bCs/>
        </w:rPr>
        <w:t xml:space="preserve">Regression Result </w:t>
      </w:r>
      <w:r w:rsidR="00E61FB7">
        <w:rPr>
          <w:b/>
          <w:bCs/>
        </w:rPr>
        <w:t>for Hong Kong</w:t>
      </w:r>
    </w:p>
    <w:tbl>
      <w:tblPr>
        <w:tblW w:w="7500" w:type="dxa"/>
        <w:tblLook w:val="04A0" w:firstRow="1" w:lastRow="0" w:firstColumn="1" w:lastColumn="0" w:noHBand="0" w:noVBand="1"/>
      </w:tblPr>
      <w:tblGrid>
        <w:gridCol w:w="7500"/>
      </w:tblGrid>
      <w:tr w:rsidR="00F111DB" w14:paraId="3A7A5C8F" w14:textId="77777777" w:rsidTr="00E61FB7">
        <w:trPr>
          <w:trHeight w:val="320"/>
        </w:trPr>
        <w:tc>
          <w:tcPr>
            <w:tcW w:w="7500" w:type="dxa"/>
            <w:tcBorders>
              <w:top w:val="single" w:sz="8" w:space="0" w:color="auto"/>
              <w:left w:val="single" w:sz="8" w:space="0" w:color="auto"/>
              <w:bottom w:val="nil"/>
              <w:right w:val="single" w:sz="8" w:space="0" w:color="auto"/>
            </w:tcBorders>
            <w:shd w:val="clear" w:color="auto" w:fill="auto"/>
            <w:noWrap/>
            <w:vAlign w:val="bottom"/>
            <w:hideMark/>
          </w:tcPr>
          <w:p w14:paraId="2507E21E" w14:textId="77777777" w:rsidR="00F111DB" w:rsidRDefault="00F111DB" w:rsidP="00E61FB7">
            <w:pPr>
              <w:rPr>
                <w:rFonts w:ascii="Courier New" w:hAnsi="Courier New" w:cs="Courier New"/>
                <w:color w:val="000000"/>
                <w:sz w:val="20"/>
                <w:szCs w:val="20"/>
              </w:rPr>
            </w:pPr>
            <w:r w:rsidRPr="00C31036">
              <w:rPr>
                <w:rFonts w:ascii="Courier New" w:hAnsi="Courier New" w:cs="Courier New"/>
                <w:b/>
                <w:bCs/>
                <w:color w:val="000000"/>
                <w:sz w:val="20"/>
                <w:szCs w:val="20"/>
              </w:rPr>
              <w:t>Hong Kong</w:t>
            </w:r>
            <w:r>
              <w:rPr>
                <w:rFonts w:ascii="Courier New" w:hAnsi="Courier New" w:cs="Courier New"/>
                <w:color w:val="000000"/>
                <w:sz w:val="20"/>
                <w:szCs w:val="20"/>
              </w:rPr>
              <w:t>: 2005 - 2012</w:t>
            </w:r>
          </w:p>
        </w:tc>
      </w:tr>
      <w:tr w:rsidR="00F111DB" w14:paraId="7146BCA1" w14:textId="77777777" w:rsidTr="00E61FB7">
        <w:trPr>
          <w:trHeight w:val="340"/>
        </w:trPr>
        <w:tc>
          <w:tcPr>
            <w:tcW w:w="7500" w:type="dxa"/>
            <w:tcBorders>
              <w:top w:val="nil"/>
              <w:left w:val="single" w:sz="8" w:space="0" w:color="auto"/>
              <w:bottom w:val="nil"/>
              <w:right w:val="single" w:sz="8" w:space="0" w:color="auto"/>
            </w:tcBorders>
            <w:shd w:val="clear" w:color="auto" w:fill="auto"/>
            <w:noWrap/>
            <w:vAlign w:val="bottom"/>
            <w:hideMark/>
          </w:tcPr>
          <w:p w14:paraId="033DB49E" w14:textId="77777777" w:rsidR="00F111DB" w:rsidRDefault="00F111DB" w:rsidP="00E61FB7">
            <w:pPr>
              <w:rPr>
                <w:rFonts w:ascii="Courier New" w:hAnsi="Courier New" w:cs="Courier New"/>
                <w:color w:val="000000"/>
                <w:sz w:val="20"/>
                <w:szCs w:val="20"/>
              </w:rPr>
            </w:pPr>
            <w:r>
              <w:rPr>
                <w:rFonts w:ascii="Courier New" w:hAnsi="Courier New" w:cs="Courier New"/>
                <w:color w:val="000000"/>
                <w:sz w:val="20"/>
                <w:szCs w:val="20"/>
              </w:rPr>
              <w:t>Adjusted R-squared: 0.9917</w:t>
            </w:r>
          </w:p>
        </w:tc>
      </w:tr>
      <w:tr w:rsidR="00F111DB" w14:paraId="669D17DA" w14:textId="77777777" w:rsidTr="00E61FB7">
        <w:trPr>
          <w:trHeight w:val="340"/>
        </w:trPr>
        <w:tc>
          <w:tcPr>
            <w:tcW w:w="7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BF6546"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                   Value  Std. Error t value Pr(&gt;|t|)    </w:t>
            </w:r>
          </w:p>
        </w:tc>
      </w:tr>
      <w:tr w:rsidR="00F111DB" w14:paraId="73EC054E"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33A8F5D7"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(Intercept)      0.06943    0.07445   0.933    0.353    </w:t>
            </w:r>
          </w:p>
        </w:tc>
      </w:tr>
      <w:tr w:rsidR="00F111DB" w14:paraId="1AAACEC9"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40947720"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Book to market  -0.12037    0.08245  -1.460    0.148    </w:t>
            </w:r>
          </w:p>
        </w:tc>
      </w:tr>
      <w:tr w:rsidR="00F111DB" w14:paraId="1096071D" w14:textId="77777777" w:rsidTr="00E61FB7">
        <w:trPr>
          <w:trHeight w:val="320"/>
        </w:trPr>
        <w:tc>
          <w:tcPr>
            <w:tcW w:w="7500" w:type="dxa"/>
            <w:tcBorders>
              <w:top w:val="nil"/>
              <w:left w:val="single" w:sz="8" w:space="0" w:color="auto"/>
              <w:bottom w:val="nil"/>
              <w:right w:val="single" w:sz="8" w:space="0" w:color="auto"/>
            </w:tcBorders>
            <w:shd w:val="clear" w:color="auto" w:fill="auto"/>
            <w:noWrap/>
            <w:vAlign w:val="bottom"/>
            <w:hideMark/>
          </w:tcPr>
          <w:p w14:paraId="25CBA56D"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 xml:space="preserve">Size             0.07544    0.04676   1.613    0.110    </w:t>
            </w:r>
          </w:p>
        </w:tc>
      </w:tr>
      <w:tr w:rsidR="00F111DB" w14:paraId="7C3EE5C4" w14:textId="77777777" w:rsidTr="00E61FB7">
        <w:trPr>
          <w:trHeight w:val="340"/>
        </w:trPr>
        <w:tc>
          <w:tcPr>
            <w:tcW w:w="7500" w:type="dxa"/>
            <w:tcBorders>
              <w:top w:val="nil"/>
              <w:left w:val="single" w:sz="8" w:space="0" w:color="auto"/>
              <w:bottom w:val="single" w:sz="8" w:space="0" w:color="auto"/>
              <w:right w:val="single" w:sz="8" w:space="0" w:color="auto"/>
            </w:tcBorders>
            <w:shd w:val="clear" w:color="auto" w:fill="auto"/>
            <w:noWrap/>
            <w:vAlign w:val="bottom"/>
            <w:hideMark/>
          </w:tcPr>
          <w:p w14:paraId="669BA612" w14:textId="77777777" w:rsidR="00F111DB" w:rsidRDefault="00F111DB" w:rsidP="00E61FB7">
            <w:pPr>
              <w:rPr>
                <w:rFonts w:ascii="Courier New" w:hAnsi="Courier New" w:cs="Courier New"/>
                <w:color w:val="333333"/>
                <w:sz w:val="20"/>
                <w:szCs w:val="20"/>
              </w:rPr>
            </w:pPr>
            <w:r>
              <w:rPr>
                <w:rFonts w:ascii="Courier New" w:hAnsi="Courier New" w:cs="Courier New"/>
                <w:color w:val="333333"/>
                <w:sz w:val="20"/>
                <w:szCs w:val="20"/>
              </w:rPr>
              <w:t>Beta             3.49280    0.03314 105.408   &lt;2e-16 ***</w:t>
            </w:r>
          </w:p>
        </w:tc>
      </w:tr>
    </w:tbl>
    <w:p w14:paraId="14017941" w14:textId="77777777" w:rsidR="00F111DB" w:rsidRDefault="00F111DB" w:rsidP="00F111DB"/>
    <w:p w14:paraId="527CF55C" w14:textId="77777777" w:rsidR="00F111DB" w:rsidRDefault="00F111DB" w:rsidP="00F6644A">
      <w:pPr>
        <w:spacing w:line="480" w:lineRule="auto"/>
        <w:ind w:firstLine="720"/>
      </w:pPr>
    </w:p>
    <w:p w14:paraId="0D113418" w14:textId="4A0720D5" w:rsidR="00601989" w:rsidRDefault="00601989" w:rsidP="00601989">
      <w:pPr>
        <w:spacing w:line="480" w:lineRule="auto"/>
        <w:ind w:firstLine="720"/>
        <w:jc w:val="center"/>
      </w:pPr>
      <w:r>
        <w:rPr>
          <w:noProof/>
        </w:rPr>
        <w:lastRenderedPageBreak/>
        <w:drawing>
          <wp:inline distT="0" distB="0" distL="0" distR="0" wp14:anchorId="2316D037" wp14:editId="249DBFA5">
            <wp:extent cx="5540172" cy="3957436"/>
            <wp:effectExtent l="0" t="0" r="0" b="508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95956" cy="3997284"/>
                    </a:xfrm>
                    <a:prstGeom prst="rect">
                      <a:avLst/>
                    </a:prstGeom>
                  </pic:spPr>
                </pic:pic>
              </a:graphicData>
            </a:graphic>
          </wp:inline>
        </w:drawing>
      </w:r>
    </w:p>
    <w:p w14:paraId="0E835EDA" w14:textId="159CF70A" w:rsidR="00601989" w:rsidRPr="00C03607" w:rsidRDefault="00601989" w:rsidP="00601989">
      <w:pPr>
        <w:spacing w:line="480" w:lineRule="auto"/>
        <w:ind w:firstLine="720"/>
        <w:jc w:val="center"/>
        <w:rPr>
          <w:b/>
          <w:bCs/>
        </w:rPr>
      </w:pPr>
      <w:bookmarkStart w:id="33" w:name="OLE_LINK55"/>
      <w:bookmarkStart w:id="34" w:name="OLE_LINK56"/>
      <w:r w:rsidRPr="00C03607">
        <w:rPr>
          <w:b/>
          <w:bCs/>
        </w:rPr>
        <w:t>Figure 3: Intercept based on different countries</w:t>
      </w:r>
    </w:p>
    <w:bookmarkEnd w:id="33"/>
    <w:bookmarkEnd w:id="34"/>
    <w:p w14:paraId="1AA10980" w14:textId="77777777" w:rsidR="00601989" w:rsidRDefault="00601989" w:rsidP="00D8552A">
      <w:pPr>
        <w:spacing w:line="480" w:lineRule="auto"/>
      </w:pPr>
    </w:p>
    <w:p w14:paraId="5CBB4BBD" w14:textId="32E639BD" w:rsidR="004A259C" w:rsidRDefault="00F6644A" w:rsidP="004A259C">
      <w:pPr>
        <w:spacing w:line="480" w:lineRule="auto"/>
        <w:ind w:firstLine="720"/>
      </w:pPr>
      <w:r>
        <w:t>For the first phase, India, South Korea, Hong Kong and Singapore hold the similar tendency for time series return data</w:t>
      </w:r>
      <w:r w:rsidR="00C03607">
        <w:t xml:space="preserve"> (Figure 4 to Figure 8)</w:t>
      </w:r>
      <w:r>
        <w:t xml:space="preserve">: the market performances are relatively stable except the 2008 Great Depression. All five markets bounce off starting from the middle of 2009. The correlation analysis </w:t>
      </w:r>
      <w:r w:rsidR="00E61FB7">
        <w:t>(</w:t>
      </w:r>
      <w:r w:rsidR="00EB46E4">
        <w:t xml:space="preserve">Table </w:t>
      </w:r>
      <w:r w:rsidR="00F111DB">
        <w:t>13</w:t>
      </w:r>
      <w:r w:rsidR="00E61FB7">
        <w:t>)</w:t>
      </w:r>
      <w:r w:rsidR="00EB46E4">
        <w:t xml:space="preserve"> </w:t>
      </w:r>
      <w:r>
        <w:t xml:space="preserve">shows China has weak correlations (&lt;0.5) with all other four areas. China, the one with the largest market capitalization, holds the highest average returns. India and South Korea follow behind, matching the order of market capitalization for these countries. At the meantime, China, India, and Hong Kong have higher volatility compared with South Korea and Singapore, which two are considered to behave more like developed market. </w:t>
      </w:r>
    </w:p>
    <w:p w14:paraId="3D0C14A6" w14:textId="1380EB91" w:rsidR="00C03607" w:rsidRDefault="00C03607" w:rsidP="00EB46E4">
      <w:pPr>
        <w:spacing w:line="480" w:lineRule="auto"/>
      </w:pPr>
    </w:p>
    <w:p w14:paraId="53D9C32F" w14:textId="71F874C5" w:rsidR="00C03607" w:rsidRDefault="00C03607" w:rsidP="00C03607">
      <w:pPr>
        <w:spacing w:line="480" w:lineRule="auto"/>
      </w:pPr>
      <w:r>
        <w:rPr>
          <w:noProof/>
        </w:rPr>
        <w:lastRenderedPageBreak/>
        <w:drawing>
          <wp:inline distT="0" distB="0" distL="0" distR="0" wp14:anchorId="232324F3" wp14:editId="064E682F">
            <wp:extent cx="5933440" cy="2130357"/>
            <wp:effectExtent l="0" t="0" r="10160" b="16510"/>
            <wp:docPr id="4" name="Chart 4">
              <a:extLst xmlns:a="http://schemas.openxmlformats.org/drawingml/2006/main">
                <a:ext uri="{FF2B5EF4-FFF2-40B4-BE49-F238E27FC236}">
                  <a16:creationId xmlns:a16="http://schemas.microsoft.com/office/drawing/2014/main" id="{9E0F8F52-57B2-B14A-840E-09D9DF3081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A495E9" w14:textId="69625812" w:rsidR="00C03607" w:rsidRPr="00C03607" w:rsidRDefault="00C03607" w:rsidP="00C03607">
      <w:pPr>
        <w:spacing w:line="480" w:lineRule="auto"/>
        <w:ind w:firstLine="720"/>
        <w:jc w:val="center"/>
        <w:rPr>
          <w:b/>
          <w:bCs/>
        </w:rPr>
      </w:pPr>
      <w:r w:rsidRPr="00C03607">
        <w:rPr>
          <w:b/>
          <w:bCs/>
        </w:rPr>
        <w:t>Figure 4: Time series Return data in China</w:t>
      </w:r>
    </w:p>
    <w:p w14:paraId="3A0115D7" w14:textId="7CD993BC" w:rsidR="00C03607" w:rsidRDefault="00C03607" w:rsidP="00C03607">
      <w:pPr>
        <w:spacing w:line="480" w:lineRule="auto"/>
      </w:pPr>
      <w:r>
        <w:rPr>
          <w:noProof/>
        </w:rPr>
        <w:drawing>
          <wp:inline distT="0" distB="0" distL="0" distR="0" wp14:anchorId="2D7EB370" wp14:editId="0B032810">
            <wp:extent cx="5991860" cy="2178996"/>
            <wp:effectExtent l="0" t="0" r="15240" b="18415"/>
            <wp:docPr id="5" name="Chart 5">
              <a:extLst xmlns:a="http://schemas.openxmlformats.org/drawingml/2006/main">
                <a:ext uri="{FF2B5EF4-FFF2-40B4-BE49-F238E27FC236}">
                  <a16:creationId xmlns:a16="http://schemas.microsoft.com/office/drawing/2014/main" id="{81F7083F-B87B-FC48-B225-6545D068AB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8EEFC7" w14:textId="0020DA56" w:rsidR="00C03607" w:rsidRPr="00C03607" w:rsidRDefault="00C03607" w:rsidP="00C03607">
      <w:pPr>
        <w:spacing w:line="480" w:lineRule="auto"/>
        <w:ind w:firstLine="720"/>
        <w:jc w:val="center"/>
        <w:rPr>
          <w:b/>
          <w:bCs/>
        </w:rPr>
      </w:pPr>
      <w:bookmarkStart w:id="35" w:name="OLE_LINK57"/>
      <w:bookmarkStart w:id="36" w:name="OLE_LINK58"/>
      <w:r w:rsidRPr="00C03607">
        <w:rPr>
          <w:b/>
          <w:bCs/>
        </w:rPr>
        <w:t>Figure 5: Time series Return data in India</w:t>
      </w:r>
    </w:p>
    <w:bookmarkEnd w:id="35"/>
    <w:bookmarkEnd w:id="36"/>
    <w:p w14:paraId="2C93698C" w14:textId="71E55E56" w:rsidR="00C03607" w:rsidRDefault="00C03607" w:rsidP="00C03607">
      <w:pPr>
        <w:spacing w:line="480" w:lineRule="auto"/>
      </w:pPr>
      <w:r>
        <w:rPr>
          <w:noProof/>
        </w:rPr>
        <w:drawing>
          <wp:inline distT="0" distB="0" distL="0" distR="0" wp14:anchorId="7F97D0E5" wp14:editId="4C1C515E">
            <wp:extent cx="6079787" cy="2188723"/>
            <wp:effectExtent l="0" t="0" r="16510" b="8890"/>
            <wp:docPr id="6" name="Chart 6">
              <a:extLst xmlns:a="http://schemas.openxmlformats.org/drawingml/2006/main">
                <a:ext uri="{FF2B5EF4-FFF2-40B4-BE49-F238E27FC236}">
                  <a16:creationId xmlns:a16="http://schemas.microsoft.com/office/drawing/2014/main" id="{6B9DF09C-A41A-BB42-BD00-4FED3067B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761003B" w14:textId="77FF691D" w:rsidR="00C03607" w:rsidRPr="00C03607" w:rsidRDefault="00C03607" w:rsidP="00C03607">
      <w:pPr>
        <w:spacing w:line="480" w:lineRule="auto"/>
        <w:ind w:firstLine="720"/>
        <w:jc w:val="center"/>
        <w:rPr>
          <w:b/>
          <w:bCs/>
        </w:rPr>
      </w:pPr>
      <w:bookmarkStart w:id="37" w:name="OLE_LINK59"/>
      <w:bookmarkStart w:id="38" w:name="OLE_LINK60"/>
      <w:r w:rsidRPr="00C03607">
        <w:rPr>
          <w:b/>
          <w:bCs/>
        </w:rPr>
        <w:t xml:space="preserve">Figure </w:t>
      </w:r>
      <w:r>
        <w:rPr>
          <w:b/>
          <w:bCs/>
        </w:rPr>
        <w:t>6</w:t>
      </w:r>
      <w:r w:rsidRPr="00C03607">
        <w:rPr>
          <w:b/>
          <w:bCs/>
        </w:rPr>
        <w:t xml:space="preserve">: Time series Return data in </w:t>
      </w:r>
      <w:r>
        <w:rPr>
          <w:b/>
          <w:bCs/>
        </w:rPr>
        <w:t>South Korea</w:t>
      </w:r>
      <w:bookmarkEnd w:id="37"/>
      <w:bookmarkEnd w:id="38"/>
    </w:p>
    <w:p w14:paraId="6C52D9C3" w14:textId="0656F945" w:rsidR="00C03607" w:rsidRDefault="00C03607" w:rsidP="00C03607">
      <w:pPr>
        <w:spacing w:line="480" w:lineRule="auto"/>
      </w:pPr>
      <w:r>
        <w:rPr>
          <w:noProof/>
        </w:rPr>
        <w:lastRenderedPageBreak/>
        <w:drawing>
          <wp:inline distT="0" distB="0" distL="0" distR="0" wp14:anchorId="382248EE" wp14:editId="2F3950BB">
            <wp:extent cx="5992238" cy="2305455"/>
            <wp:effectExtent l="0" t="0" r="15240" b="6350"/>
            <wp:docPr id="7" name="Chart 7">
              <a:extLst xmlns:a="http://schemas.openxmlformats.org/drawingml/2006/main">
                <a:ext uri="{FF2B5EF4-FFF2-40B4-BE49-F238E27FC236}">
                  <a16:creationId xmlns:a16="http://schemas.microsoft.com/office/drawing/2014/main" id="{FE37DBF3-9E47-2D4E-9EAC-564B1535C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93B3C0" w14:textId="3B50EEA6" w:rsidR="00C03607" w:rsidRPr="00C03607" w:rsidRDefault="00C03607" w:rsidP="00C03607">
      <w:pPr>
        <w:spacing w:line="480" w:lineRule="auto"/>
        <w:ind w:firstLine="720"/>
        <w:jc w:val="center"/>
        <w:rPr>
          <w:b/>
          <w:bCs/>
        </w:rPr>
      </w:pPr>
      <w:r w:rsidRPr="00C03607">
        <w:rPr>
          <w:b/>
          <w:bCs/>
        </w:rPr>
        <w:t xml:space="preserve">Figure </w:t>
      </w:r>
      <w:r>
        <w:rPr>
          <w:b/>
          <w:bCs/>
        </w:rPr>
        <w:t>7</w:t>
      </w:r>
      <w:r w:rsidRPr="00C03607">
        <w:rPr>
          <w:b/>
          <w:bCs/>
        </w:rPr>
        <w:t xml:space="preserve">: Time series Return data in </w:t>
      </w:r>
      <w:r>
        <w:rPr>
          <w:b/>
          <w:bCs/>
        </w:rPr>
        <w:t>Hong Kong</w:t>
      </w:r>
    </w:p>
    <w:p w14:paraId="6A78B6FE" w14:textId="2AE036F7" w:rsidR="00C03607" w:rsidRDefault="00C03607" w:rsidP="00C03607">
      <w:pPr>
        <w:spacing w:line="480" w:lineRule="auto"/>
      </w:pPr>
      <w:r>
        <w:rPr>
          <w:noProof/>
        </w:rPr>
        <w:drawing>
          <wp:inline distT="0" distB="0" distL="0" distR="0" wp14:anchorId="02E2AD6E" wp14:editId="380299A4">
            <wp:extent cx="5943600" cy="2266545"/>
            <wp:effectExtent l="0" t="0" r="12700" b="6985"/>
            <wp:docPr id="8" name="Chart 8">
              <a:extLst xmlns:a="http://schemas.openxmlformats.org/drawingml/2006/main">
                <a:ext uri="{FF2B5EF4-FFF2-40B4-BE49-F238E27FC236}">
                  <a16:creationId xmlns:a16="http://schemas.microsoft.com/office/drawing/2014/main" id="{B21DADB6-65D8-5241-AFB3-F9FD07AA79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F93E28" w14:textId="02C82F26" w:rsidR="00B851D4" w:rsidRDefault="00C03607" w:rsidP="00AF70CE">
      <w:pPr>
        <w:spacing w:line="480" w:lineRule="auto"/>
        <w:ind w:firstLine="720"/>
        <w:jc w:val="center"/>
        <w:rPr>
          <w:b/>
          <w:bCs/>
        </w:rPr>
      </w:pPr>
      <w:r w:rsidRPr="00C03607">
        <w:rPr>
          <w:b/>
          <w:bCs/>
        </w:rPr>
        <w:t xml:space="preserve">Figure </w:t>
      </w:r>
      <w:r>
        <w:rPr>
          <w:b/>
          <w:bCs/>
        </w:rPr>
        <w:t>8</w:t>
      </w:r>
      <w:r w:rsidRPr="00C03607">
        <w:rPr>
          <w:b/>
          <w:bCs/>
        </w:rPr>
        <w:t>: Time series Return data in</w:t>
      </w:r>
      <w:r>
        <w:rPr>
          <w:b/>
          <w:bCs/>
        </w:rPr>
        <w:t xml:space="preserve"> Singapore</w:t>
      </w:r>
    </w:p>
    <w:tbl>
      <w:tblPr>
        <w:tblW w:w="8300" w:type="dxa"/>
        <w:tblLook w:val="04A0" w:firstRow="1" w:lastRow="0" w:firstColumn="1" w:lastColumn="0" w:noHBand="0" w:noVBand="1"/>
      </w:tblPr>
      <w:tblGrid>
        <w:gridCol w:w="1420"/>
        <w:gridCol w:w="1420"/>
        <w:gridCol w:w="1380"/>
        <w:gridCol w:w="1380"/>
        <w:gridCol w:w="1380"/>
        <w:gridCol w:w="1320"/>
      </w:tblGrid>
      <w:tr w:rsidR="00B851D4" w:rsidRPr="00B851D4" w14:paraId="71D92BD6" w14:textId="77777777" w:rsidTr="00B851D4">
        <w:trPr>
          <w:trHeight w:val="360"/>
        </w:trPr>
        <w:tc>
          <w:tcPr>
            <w:tcW w:w="1420" w:type="dxa"/>
            <w:tcBorders>
              <w:top w:val="nil"/>
              <w:left w:val="nil"/>
              <w:bottom w:val="nil"/>
              <w:right w:val="nil"/>
            </w:tcBorders>
            <w:shd w:val="clear" w:color="auto" w:fill="auto"/>
            <w:noWrap/>
            <w:vAlign w:val="bottom"/>
            <w:hideMark/>
          </w:tcPr>
          <w:p w14:paraId="30029651" w14:textId="77777777" w:rsidR="00B851D4" w:rsidRPr="00B851D4" w:rsidRDefault="00B851D4" w:rsidP="00B851D4"/>
        </w:tc>
        <w:tc>
          <w:tcPr>
            <w:tcW w:w="1420" w:type="dxa"/>
            <w:tcBorders>
              <w:top w:val="nil"/>
              <w:left w:val="nil"/>
              <w:bottom w:val="single" w:sz="8" w:space="0" w:color="auto"/>
              <w:right w:val="nil"/>
            </w:tcBorders>
            <w:shd w:val="clear" w:color="auto" w:fill="auto"/>
            <w:noWrap/>
            <w:vAlign w:val="bottom"/>
            <w:hideMark/>
          </w:tcPr>
          <w:p w14:paraId="6E4D7904"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China</w:t>
            </w:r>
          </w:p>
        </w:tc>
        <w:tc>
          <w:tcPr>
            <w:tcW w:w="1380" w:type="dxa"/>
            <w:tcBorders>
              <w:top w:val="nil"/>
              <w:left w:val="nil"/>
              <w:bottom w:val="single" w:sz="8" w:space="0" w:color="auto"/>
              <w:right w:val="nil"/>
            </w:tcBorders>
            <w:shd w:val="clear" w:color="auto" w:fill="auto"/>
            <w:noWrap/>
            <w:vAlign w:val="bottom"/>
            <w:hideMark/>
          </w:tcPr>
          <w:p w14:paraId="2D287542"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India</w:t>
            </w:r>
          </w:p>
        </w:tc>
        <w:tc>
          <w:tcPr>
            <w:tcW w:w="1380" w:type="dxa"/>
            <w:tcBorders>
              <w:top w:val="nil"/>
              <w:left w:val="nil"/>
              <w:bottom w:val="single" w:sz="8" w:space="0" w:color="auto"/>
              <w:right w:val="nil"/>
            </w:tcBorders>
            <w:shd w:val="clear" w:color="auto" w:fill="auto"/>
            <w:noWrap/>
            <w:vAlign w:val="bottom"/>
            <w:hideMark/>
          </w:tcPr>
          <w:p w14:paraId="0427208C"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South Korea</w:t>
            </w:r>
          </w:p>
        </w:tc>
        <w:tc>
          <w:tcPr>
            <w:tcW w:w="1380" w:type="dxa"/>
            <w:tcBorders>
              <w:top w:val="nil"/>
              <w:left w:val="nil"/>
              <w:bottom w:val="single" w:sz="8" w:space="0" w:color="auto"/>
              <w:right w:val="nil"/>
            </w:tcBorders>
            <w:shd w:val="clear" w:color="auto" w:fill="auto"/>
            <w:noWrap/>
            <w:vAlign w:val="bottom"/>
            <w:hideMark/>
          </w:tcPr>
          <w:p w14:paraId="6C185DD8"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Hong Kong</w:t>
            </w:r>
          </w:p>
        </w:tc>
        <w:tc>
          <w:tcPr>
            <w:tcW w:w="1320" w:type="dxa"/>
            <w:tcBorders>
              <w:top w:val="nil"/>
              <w:left w:val="nil"/>
              <w:bottom w:val="single" w:sz="8" w:space="0" w:color="auto"/>
              <w:right w:val="nil"/>
            </w:tcBorders>
            <w:shd w:val="clear" w:color="auto" w:fill="auto"/>
            <w:noWrap/>
            <w:vAlign w:val="bottom"/>
            <w:hideMark/>
          </w:tcPr>
          <w:p w14:paraId="7DD51024"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Singapore</w:t>
            </w:r>
          </w:p>
        </w:tc>
      </w:tr>
      <w:tr w:rsidR="00B851D4" w:rsidRPr="00B851D4" w14:paraId="35F6AB10" w14:textId="77777777" w:rsidTr="00B851D4">
        <w:trPr>
          <w:trHeight w:val="340"/>
        </w:trPr>
        <w:tc>
          <w:tcPr>
            <w:tcW w:w="1420" w:type="dxa"/>
            <w:tcBorders>
              <w:top w:val="nil"/>
              <w:left w:val="nil"/>
              <w:bottom w:val="nil"/>
              <w:right w:val="single" w:sz="8" w:space="0" w:color="auto"/>
            </w:tcBorders>
            <w:shd w:val="clear" w:color="auto" w:fill="auto"/>
            <w:noWrap/>
            <w:vAlign w:val="bottom"/>
            <w:hideMark/>
          </w:tcPr>
          <w:p w14:paraId="3373AD33"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China</w:t>
            </w:r>
          </w:p>
        </w:tc>
        <w:tc>
          <w:tcPr>
            <w:tcW w:w="1420" w:type="dxa"/>
            <w:tcBorders>
              <w:top w:val="nil"/>
              <w:left w:val="nil"/>
              <w:bottom w:val="nil"/>
              <w:right w:val="nil"/>
            </w:tcBorders>
            <w:shd w:val="clear" w:color="auto" w:fill="auto"/>
            <w:noWrap/>
            <w:vAlign w:val="bottom"/>
            <w:hideMark/>
          </w:tcPr>
          <w:p w14:paraId="77C84C20"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1</w:t>
            </w:r>
          </w:p>
        </w:tc>
        <w:tc>
          <w:tcPr>
            <w:tcW w:w="1380" w:type="dxa"/>
            <w:tcBorders>
              <w:top w:val="nil"/>
              <w:left w:val="nil"/>
              <w:bottom w:val="nil"/>
              <w:right w:val="nil"/>
            </w:tcBorders>
            <w:shd w:val="clear" w:color="auto" w:fill="auto"/>
            <w:noWrap/>
            <w:vAlign w:val="bottom"/>
            <w:hideMark/>
          </w:tcPr>
          <w:p w14:paraId="5A1D5638" w14:textId="77777777" w:rsidR="00B851D4" w:rsidRPr="00B851D4" w:rsidRDefault="00B851D4" w:rsidP="00B851D4">
            <w:pPr>
              <w:jc w:val="right"/>
              <w:rPr>
                <w:rFonts w:ascii="Calibri Light" w:hAnsi="Calibri Light" w:cs="Calibri Light"/>
                <w:color w:val="000000"/>
                <w:sz w:val="26"/>
                <w:szCs w:val="26"/>
              </w:rPr>
            </w:pPr>
          </w:p>
        </w:tc>
        <w:tc>
          <w:tcPr>
            <w:tcW w:w="1380" w:type="dxa"/>
            <w:tcBorders>
              <w:top w:val="nil"/>
              <w:left w:val="nil"/>
              <w:bottom w:val="nil"/>
              <w:right w:val="nil"/>
            </w:tcBorders>
            <w:shd w:val="clear" w:color="auto" w:fill="auto"/>
            <w:noWrap/>
            <w:vAlign w:val="bottom"/>
            <w:hideMark/>
          </w:tcPr>
          <w:p w14:paraId="32818015" w14:textId="77777777" w:rsidR="00B851D4" w:rsidRPr="00B851D4" w:rsidRDefault="00B851D4" w:rsidP="00B851D4">
            <w:pPr>
              <w:rPr>
                <w:sz w:val="20"/>
                <w:szCs w:val="20"/>
              </w:rPr>
            </w:pPr>
          </w:p>
        </w:tc>
        <w:tc>
          <w:tcPr>
            <w:tcW w:w="1380" w:type="dxa"/>
            <w:tcBorders>
              <w:top w:val="nil"/>
              <w:left w:val="nil"/>
              <w:bottom w:val="nil"/>
              <w:right w:val="nil"/>
            </w:tcBorders>
            <w:shd w:val="clear" w:color="auto" w:fill="auto"/>
            <w:noWrap/>
            <w:vAlign w:val="bottom"/>
            <w:hideMark/>
          </w:tcPr>
          <w:p w14:paraId="2D1B6206" w14:textId="77777777" w:rsidR="00B851D4" w:rsidRPr="00B851D4" w:rsidRDefault="00B851D4" w:rsidP="00B851D4">
            <w:pPr>
              <w:rPr>
                <w:sz w:val="20"/>
                <w:szCs w:val="20"/>
              </w:rPr>
            </w:pPr>
          </w:p>
        </w:tc>
        <w:tc>
          <w:tcPr>
            <w:tcW w:w="1320" w:type="dxa"/>
            <w:tcBorders>
              <w:top w:val="nil"/>
              <w:left w:val="nil"/>
              <w:bottom w:val="nil"/>
              <w:right w:val="nil"/>
            </w:tcBorders>
            <w:shd w:val="clear" w:color="auto" w:fill="auto"/>
            <w:noWrap/>
            <w:vAlign w:val="bottom"/>
            <w:hideMark/>
          </w:tcPr>
          <w:p w14:paraId="0E8C4318" w14:textId="77777777" w:rsidR="00B851D4" w:rsidRPr="00B851D4" w:rsidRDefault="00B851D4" w:rsidP="00B851D4">
            <w:pPr>
              <w:rPr>
                <w:sz w:val="20"/>
                <w:szCs w:val="20"/>
              </w:rPr>
            </w:pPr>
          </w:p>
        </w:tc>
      </w:tr>
      <w:tr w:rsidR="00B851D4" w:rsidRPr="00B851D4" w14:paraId="47F5EB6F" w14:textId="77777777" w:rsidTr="00B851D4">
        <w:trPr>
          <w:trHeight w:val="340"/>
        </w:trPr>
        <w:tc>
          <w:tcPr>
            <w:tcW w:w="1420" w:type="dxa"/>
            <w:tcBorders>
              <w:top w:val="nil"/>
              <w:left w:val="nil"/>
              <w:bottom w:val="nil"/>
              <w:right w:val="single" w:sz="8" w:space="0" w:color="auto"/>
            </w:tcBorders>
            <w:shd w:val="clear" w:color="auto" w:fill="auto"/>
            <w:noWrap/>
            <w:vAlign w:val="bottom"/>
            <w:hideMark/>
          </w:tcPr>
          <w:p w14:paraId="530D5941"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India</w:t>
            </w:r>
          </w:p>
        </w:tc>
        <w:tc>
          <w:tcPr>
            <w:tcW w:w="1420" w:type="dxa"/>
            <w:tcBorders>
              <w:top w:val="nil"/>
              <w:left w:val="nil"/>
              <w:bottom w:val="nil"/>
              <w:right w:val="nil"/>
            </w:tcBorders>
            <w:shd w:val="clear" w:color="auto" w:fill="auto"/>
            <w:noWrap/>
            <w:vAlign w:val="bottom"/>
            <w:hideMark/>
          </w:tcPr>
          <w:p w14:paraId="422607A7"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0.3329</w:t>
            </w:r>
          </w:p>
        </w:tc>
        <w:tc>
          <w:tcPr>
            <w:tcW w:w="1380" w:type="dxa"/>
            <w:tcBorders>
              <w:top w:val="nil"/>
              <w:left w:val="nil"/>
              <w:bottom w:val="nil"/>
              <w:right w:val="nil"/>
            </w:tcBorders>
            <w:shd w:val="clear" w:color="auto" w:fill="auto"/>
            <w:noWrap/>
            <w:vAlign w:val="bottom"/>
            <w:hideMark/>
          </w:tcPr>
          <w:p w14:paraId="480060DE"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1</w:t>
            </w:r>
          </w:p>
        </w:tc>
        <w:tc>
          <w:tcPr>
            <w:tcW w:w="1380" w:type="dxa"/>
            <w:tcBorders>
              <w:top w:val="nil"/>
              <w:left w:val="nil"/>
              <w:bottom w:val="nil"/>
              <w:right w:val="nil"/>
            </w:tcBorders>
            <w:shd w:val="clear" w:color="auto" w:fill="auto"/>
            <w:noWrap/>
            <w:vAlign w:val="bottom"/>
            <w:hideMark/>
          </w:tcPr>
          <w:p w14:paraId="5190FE43" w14:textId="77777777" w:rsidR="00B851D4" w:rsidRPr="00B851D4" w:rsidRDefault="00B851D4" w:rsidP="00B851D4">
            <w:pPr>
              <w:jc w:val="right"/>
              <w:rPr>
                <w:rFonts w:ascii="Calibri Light" w:hAnsi="Calibri Light" w:cs="Calibri Light"/>
                <w:color w:val="000000"/>
                <w:sz w:val="26"/>
                <w:szCs w:val="26"/>
              </w:rPr>
            </w:pPr>
          </w:p>
        </w:tc>
        <w:tc>
          <w:tcPr>
            <w:tcW w:w="1380" w:type="dxa"/>
            <w:tcBorders>
              <w:top w:val="nil"/>
              <w:left w:val="nil"/>
              <w:bottom w:val="nil"/>
              <w:right w:val="nil"/>
            </w:tcBorders>
            <w:shd w:val="clear" w:color="auto" w:fill="auto"/>
            <w:noWrap/>
            <w:vAlign w:val="bottom"/>
            <w:hideMark/>
          </w:tcPr>
          <w:p w14:paraId="42773378" w14:textId="77777777" w:rsidR="00B851D4" w:rsidRPr="00B851D4" w:rsidRDefault="00B851D4" w:rsidP="00B851D4">
            <w:pPr>
              <w:rPr>
                <w:sz w:val="20"/>
                <w:szCs w:val="20"/>
              </w:rPr>
            </w:pPr>
          </w:p>
        </w:tc>
        <w:tc>
          <w:tcPr>
            <w:tcW w:w="1320" w:type="dxa"/>
            <w:tcBorders>
              <w:top w:val="nil"/>
              <w:left w:val="nil"/>
              <w:bottom w:val="nil"/>
              <w:right w:val="nil"/>
            </w:tcBorders>
            <w:shd w:val="clear" w:color="auto" w:fill="auto"/>
            <w:noWrap/>
            <w:vAlign w:val="bottom"/>
            <w:hideMark/>
          </w:tcPr>
          <w:p w14:paraId="71FE6858" w14:textId="77777777" w:rsidR="00B851D4" w:rsidRPr="00B851D4" w:rsidRDefault="00B851D4" w:rsidP="00B851D4">
            <w:pPr>
              <w:rPr>
                <w:sz w:val="20"/>
                <w:szCs w:val="20"/>
              </w:rPr>
            </w:pPr>
          </w:p>
        </w:tc>
      </w:tr>
      <w:tr w:rsidR="00B851D4" w:rsidRPr="00B851D4" w14:paraId="6D5F083D" w14:textId="77777777" w:rsidTr="00B851D4">
        <w:trPr>
          <w:trHeight w:val="340"/>
        </w:trPr>
        <w:tc>
          <w:tcPr>
            <w:tcW w:w="1420" w:type="dxa"/>
            <w:tcBorders>
              <w:top w:val="nil"/>
              <w:left w:val="nil"/>
              <w:bottom w:val="nil"/>
              <w:right w:val="single" w:sz="8" w:space="0" w:color="auto"/>
            </w:tcBorders>
            <w:shd w:val="clear" w:color="auto" w:fill="auto"/>
            <w:noWrap/>
            <w:vAlign w:val="bottom"/>
            <w:hideMark/>
          </w:tcPr>
          <w:p w14:paraId="4055D7B8"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South Korea</w:t>
            </w:r>
          </w:p>
        </w:tc>
        <w:tc>
          <w:tcPr>
            <w:tcW w:w="1420" w:type="dxa"/>
            <w:tcBorders>
              <w:top w:val="nil"/>
              <w:left w:val="nil"/>
              <w:bottom w:val="nil"/>
              <w:right w:val="nil"/>
            </w:tcBorders>
            <w:shd w:val="clear" w:color="auto" w:fill="auto"/>
            <w:noWrap/>
            <w:vAlign w:val="bottom"/>
            <w:hideMark/>
          </w:tcPr>
          <w:p w14:paraId="384171E1"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0.3659</w:t>
            </w:r>
          </w:p>
        </w:tc>
        <w:tc>
          <w:tcPr>
            <w:tcW w:w="1380" w:type="dxa"/>
            <w:tcBorders>
              <w:top w:val="nil"/>
              <w:left w:val="nil"/>
              <w:bottom w:val="nil"/>
              <w:right w:val="nil"/>
            </w:tcBorders>
            <w:shd w:val="clear" w:color="auto" w:fill="auto"/>
            <w:noWrap/>
            <w:vAlign w:val="bottom"/>
            <w:hideMark/>
          </w:tcPr>
          <w:p w14:paraId="41BA9BE1"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0.6543</w:t>
            </w:r>
          </w:p>
        </w:tc>
        <w:tc>
          <w:tcPr>
            <w:tcW w:w="1380" w:type="dxa"/>
            <w:tcBorders>
              <w:top w:val="nil"/>
              <w:left w:val="nil"/>
              <w:bottom w:val="nil"/>
              <w:right w:val="nil"/>
            </w:tcBorders>
            <w:shd w:val="clear" w:color="auto" w:fill="auto"/>
            <w:noWrap/>
            <w:vAlign w:val="bottom"/>
            <w:hideMark/>
          </w:tcPr>
          <w:p w14:paraId="2EFAEA18"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1</w:t>
            </w:r>
          </w:p>
        </w:tc>
        <w:tc>
          <w:tcPr>
            <w:tcW w:w="1380" w:type="dxa"/>
            <w:tcBorders>
              <w:top w:val="nil"/>
              <w:left w:val="nil"/>
              <w:bottom w:val="nil"/>
              <w:right w:val="nil"/>
            </w:tcBorders>
            <w:shd w:val="clear" w:color="auto" w:fill="auto"/>
            <w:noWrap/>
            <w:vAlign w:val="bottom"/>
            <w:hideMark/>
          </w:tcPr>
          <w:p w14:paraId="6AF36F03" w14:textId="77777777" w:rsidR="00B851D4" w:rsidRPr="00B851D4" w:rsidRDefault="00B851D4" w:rsidP="00B851D4">
            <w:pPr>
              <w:jc w:val="right"/>
              <w:rPr>
                <w:rFonts w:ascii="Calibri Light" w:hAnsi="Calibri Light" w:cs="Calibri Light"/>
                <w:color w:val="000000"/>
                <w:sz w:val="26"/>
                <w:szCs w:val="26"/>
              </w:rPr>
            </w:pPr>
          </w:p>
        </w:tc>
        <w:tc>
          <w:tcPr>
            <w:tcW w:w="1320" w:type="dxa"/>
            <w:tcBorders>
              <w:top w:val="nil"/>
              <w:left w:val="nil"/>
              <w:bottom w:val="nil"/>
              <w:right w:val="nil"/>
            </w:tcBorders>
            <w:shd w:val="clear" w:color="auto" w:fill="auto"/>
            <w:noWrap/>
            <w:vAlign w:val="bottom"/>
            <w:hideMark/>
          </w:tcPr>
          <w:p w14:paraId="17F6AD32" w14:textId="77777777" w:rsidR="00B851D4" w:rsidRPr="00B851D4" w:rsidRDefault="00B851D4" w:rsidP="00B851D4">
            <w:pPr>
              <w:rPr>
                <w:sz w:val="20"/>
                <w:szCs w:val="20"/>
              </w:rPr>
            </w:pPr>
          </w:p>
        </w:tc>
      </w:tr>
      <w:tr w:rsidR="00B851D4" w:rsidRPr="00B851D4" w14:paraId="727C6880" w14:textId="77777777" w:rsidTr="00B851D4">
        <w:trPr>
          <w:trHeight w:val="340"/>
        </w:trPr>
        <w:tc>
          <w:tcPr>
            <w:tcW w:w="1420" w:type="dxa"/>
            <w:tcBorders>
              <w:top w:val="nil"/>
              <w:left w:val="nil"/>
              <w:bottom w:val="nil"/>
              <w:right w:val="single" w:sz="8" w:space="0" w:color="auto"/>
            </w:tcBorders>
            <w:shd w:val="clear" w:color="auto" w:fill="auto"/>
            <w:noWrap/>
            <w:vAlign w:val="bottom"/>
            <w:hideMark/>
          </w:tcPr>
          <w:p w14:paraId="71CC0B63"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Hong Kong</w:t>
            </w:r>
          </w:p>
        </w:tc>
        <w:tc>
          <w:tcPr>
            <w:tcW w:w="1420" w:type="dxa"/>
            <w:tcBorders>
              <w:top w:val="nil"/>
              <w:left w:val="nil"/>
              <w:bottom w:val="nil"/>
              <w:right w:val="nil"/>
            </w:tcBorders>
            <w:shd w:val="clear" w:color="auto" w:fill="auto"/>
            <w:noWrap/>
            <w:vAlign w:val="bottom"/>
            <w:hideMark/>
          </w:tcPr>
          <w:p w14:paraId="3BDDBF4A"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0.4625</w:t>
            </w:r>
          </w:p>
        </w:tc>
        <w:tc>
          <w:tcPr>
            <w:tcW w:w="1380" w:type="dxa"/>
            <w:tcBorders>
              <w:top w:val="nil"/>
              <w:left w:val="nil"/>
              <w:bottom w:val="nil"/>
              <w:right w:val="nil"/>
            </w:tcBorders>
            <w:shd w:val="clear" w:color="auto" w:fill="auto"/>
            <w:noWrap/>
            <w:vAlign w:val="bottom"/>
            <w:hideMark/>
          </w:tcPr>
          <w:p w14:paraId="45004A22"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0.7526</w:t>
            </w:r>
          </w:p>
        </w:tc>
        <w:tc>
          <w:tcPr>
            <w:tcW w:w="1380" w:type="dxa"/>
            <w:tcBorders>
              <w:top w:val="nil"/>
              <w:left w:val="nil"/>
              <w:bottom w:val="nil"/>
              <w:right w:val="nil"/>
            </w:tcBorders>
            <w:shd w:val="clear" w:color="auto" w:fill="auto"/>
            <w:noWrap/>
            <w:vAlign w:val="bottom"/>
            <w:hideMark/>
          </w:tcPr>
          <w:p w14:paraId="3728C26F"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0.6903</w:t>
            </w:r>
          </w:p>
        </w:tc>
        <w:tc>
          <w:tcPr>
            <w:tcW w:w="1380" w:type="dxa"/>
            <w:tcBorders>
              <w:top w:val="nil"/>
              <w:left w:val="nil"/>
              <w:bottom w:val="nil"/>
              <w:right w:val="nil"/>
            </w:tcBorders>
            <w:shd w:val="clear" w:color="auto" w:fill="auto"/>
            <w:noWrap/>
            <w:vAlign w:val="bottom"/>
            <w:hideMark/>
          </w:tcPr>
          <w:p w14:paraId="31B7EC20"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1</w:t>
            </w:r>
          </w:p>
        </w:tc>
        <w:tc>
          <w:tcPr>
            <w:tcW w:w="1320" w:type="dxa"/>
            <w:tcBorders>
              <w:top w:val="nil"/>
              <w:left w:val="nil"/>
              <w:bottom w:val="nil"/>
              <w:right w:val="nil"/>
            </w:tcBorders>
            <w:shd w:val="clear" w:color="auto" w:fill="auto"/>
            <w:noWrap/>
            <w:vAlign w:val="bottom"/>
            <w:hideMark/>
          </w:tcPr>
          <w:p w14:paraId="77EA4C42" w14:textId="77777777" w:rsidR="00B851D4" w:rsidRPr="00B851D4" w:rsidRDefault="00B851D4" w:rsidP="00B851D4">
            <w:pPr>
              <w:jc w:val="right"/>
              <w:rPr>
                <w:rFonts w:ascii="Calibri Light" w:hAnsi="Calibri Light" w:cs="Calibri Light"/>
                <w:color w:val="000000"/>
                <w:sz w:val="26"/>
                <w:szCs w:val="26"/>
              </w:rPr>
            </w:pPr>
          </w:p>
        </w:tc>
      </w:tr>
      <w:tr w:rsidR="00B851D4" w:rsidRPr="00B851D4" w14:paraId="3C8E3EC1" w14:textId="77777777" w:rsidTr="00B851D4">
        <w:trPr>
          <w:trHeight w:val="340"/>
        </w:trPr>
        <w:tc>
          <w:tcPr>
            <w:tcW w:w="1420" w:type="dxa"/>
            <w:tcBorders>
              <w:top w:val="nil"/>
              <w:left w:val="nil"/>
              <w:bottom w:val="nil"/>
              <w:right w:val="single" w:sz="8" w:space="0" w:color="auto"/>
            </w:tcBorders>
            <w:shd w:val="clear" w:color="auto" w:fill="auto"/>
            <w:noWrap/>
            <w:vAlign w:val="bottom"/>
            <w:hideMark/>
          </w:tcPr>
          <w:p w14:paraId="29C1DF54" w14:textId="77777777" w:rsidR="00B851D4" w:rsidRPr="00B851D4" w:rsidRDefault="00B851D4" w:rsidP="00B851D4">
            <w:pPr>
              <w:jc w:val="center"/>
              <w:rPr>
                <w:rFonts w:ascii="Calibri Light" w:hAnsi="Calibri Light" w:cs="Calibri Light"/>
                <w:color w:val="000000"/>
                <w:sz w:val="26"/>
                <w:szCs w:val="26"/>
              </w:rPr>
            </w:pPr>
            <w:r w:rsidRPr="00B851D4">
              <w:rPr>
                <w:rFonts w:ascii="Calibri Light" w:hAnsi="Calibri Light" w:cs="Calibri Light"/>
                <w:color w:val="000000"/>
                <w:sz w:val="26"/>
                <w:szCs w:val="26"/>
              </w:rPr>
              <w:t>Singapore</w:t>
            </w:r>
          </w:p>
        </w:tc>
        <w:tc>
          <w:tcPr>
            <w:tcW w:w="1420" w:type="dxa"/>
            <w:tcBorders>
              <w:top w:val="nil"/>
              <w:left w:val="nil"/>
              <w:bottom w:val="nil"/>
              <w:right w:val="nil"/>
            </w:tcBorders>
            <w:shd w:val="clear" w:color="auto" w:fill="auto"/>
            <w:noWrap/>
            <w:vAlign w:val="bottom"/>
            <w:hideMark/>
          </w:tcPr>
          <w:p w14:paraId="0DA1517E"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0.3889</w:t>
            </w:r>
          </w:p>
        </w:tc>
        <w:tc>
          <w:tcPr>
            <w:tcW w:w="1380" w:type="dxa"/>
            <w:tcBorders>
              <w:top w:val="nil"/>
              <w:left w:val="nil"/>
              <w:bottom w:val="nil"/>
              <w:right w:val="nil"/>
            </w:tcBorders>
            <w:shd w:val="clear" w:color="auto" w:fill="auto"/>
            <w:noWrap/>
            <w:vAlign w:val="bottom"/>
            <w:hideMark/>
          </w:tcPr>
          <w:p w14:paraId="00BFF631"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0.8294</w:t>
            </w:r>
          </w:p>
        </w:tc>
        <w:tc>
          <w:tcPr>
            <w:tcW w:w="1380" w:type="dxa"/>
            <w:tcBorders>
              <w:top w:val="nil"/>
              <w:left w:val="nil"/>
              <w:bottom w:val="nil"/>
              <w:right w:val="nil"/>
            </w:tcBorders>
            <w:shd w:val="clear" w:color="auto" w:fill="auto"/>
            <w:noWrap/>
            <w:vAlign w:val="bottom"/>
            <w:hideMark/>
          </w:tcPr>
          <w:p w14:paraId="5F5457BE"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0.7251</w:t>
            </w:r>
          </w:p>
        </w:tc>
        <w:tc>
          <w:tcPr>
            <w:tcW w:w="1380" w:type="dxa"/>
            <w:tcBorders>
              <w:top w:val="nil"/>
              <w:left w:val="nil"/>
              <w:bottom w:val="nil"/>
              <w:right w:val="nil"/>
            </w:tcBorders>
            <w:shd w:val="clear" w:color="auto" w:fill="auto"/>
            <w:noWrap/>
            <w:vAlign w:val="bottom"/>
            <w:hideMark/>
          </w:tcPr>
          <w:p w14:paraId="41B6F8BA"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0.8246</w:t>
            </w:r>
          </w:p>
        </w:tc>
        <w:tc>
          <w:tcPr>
            <w:tcW w:w="1320" w:type="dxa"/>
            <w:tcBorders>
              <w:top w:val="nil"/>
              <w:left w:val="nil"/>
              <w:bottom w:val="nil"/>
              <w:right w:val="nil"/>
            </w:tcBorders>
            <w:shd w:val="clear" w:color="auto" w:fill="auto"/>
            <w:noWrap/>
            <w:vAlign w:val="bottom"/>
            <w:hideMark/>
          </w:tcPr>
          <w:p w14:paraId="2370E1AC" w14:textId="77777777" w:rsidR="00B851D4" w:rsidRPr="00B851D4" w:rsidRDefault="00B851D4" w:rsidP="00B851D4">
            <w:pPr>
              <w:jc w:val="right"/>
              <w:rPr>
                <w:rFonts w:ascii="Calibri Light" w:hAnsi="Calibri Light" w:cs="Calibri Light"/>
                <w:color w:val="000000"/>
                <w:sz w:val="26"/>
                <w:szCs w:val="26"/>
              </w:rPr>
            </w:pPr>
            <w:r w:rsidRPr="00B851D4">
              <w:rPr>
                <w:rFonts w:ascii="Calibri Light" w:hAnsi="Calibri Light" w:cs="Calibri Light"/>
                <w:color w:val="000000"/>
                <w:sz w:val="26"/>
                <w:szCs w:val="26"/>
              </w:rPr>
              <w:t>1</w:t>
            </w:r>
          </w:p>
        </w:tc>
      </w:tr>
    </w:tbl>
    <w:p w14:paraId="77EEB9B4" w14:textId="380A3F97" w:rsidR="00B851D4" w:rsidRDefault="00B851D4" w:rsidP="00B851D4">
      <w:pPr>
        <w:spacing w:line="480" w:lineRule="auto"/>
        <w:ind w:firstLine="720"/>
        <w:rPr>
          <w:b/>
          <w:bCs/>
        </w:rPr>
      </w:pPr>
    </w:p>
    <w:p w14:paraId="7C3656A6" w14:textId="23415611" w:rsidR="00B851D4" w:rsidRDefault="00B851D4" w:rsidP="00AF70CE">
      <w:pPr>
        <w:spacing w:line="480" w:lineRule="auto"/>
        <w:ind w:firstLine="720"/>
        <w:jc w:val="center"/>
        <w:rPr>
          <w:b/>
          <w:bCs/>
        </w:rPr>
      </w:pPr>
      <w:r>
        <w:rPr>
          <w:b/>
          <w:bCs/>
        </w:rPr>
        <w:t xml:space="preserve">Table </w:t>
      </w:r>
      <w:r w:rsidR="00F111DB">
        <w:rPr>
          <w:b/>
          <w:bCs/>
        </w:rPr>
        <w:t>13</w:t>
      </w:r>
      <w:r>
        <w:rPr>
          <w:b/>
          <w:bCs/>
        </w:rPr>
        <w:t xml:space="preserve">: Correlation Analysis in </w:t>
      </w:r>
      <w:r w:rsidR="00AF70CE">
        <w:rPr>
          <w:b/>
          <w:bCs/>
        </w:rPr>
        <w:t>R</w:t>
      </w:r>
      <w:r>
        <w:rPr>
          <w:b/>
          <w:bCs/>
        </w:rPr>
        <w:t>e</w:t>
      </w:r>
      <w:r w:rsidR="00AF70CE">
        <w:rPr>
          <w:b/>
          <w:bCs/>
        </w:rPr>
        <w:t>turn</w:t>
      </w:r>
    </w:p>
    <w:p w14:paraId="38BD3E2E" w14:textId="77777777" w:rsidR="00B851D4" w:rsidRPr="00C03607" w:rsidRDefault="00B851D4" w:rsidP="006363E8">
      <w:pPr>
        <w:spacing w:line="480" w:lineRule="auto"/>
        <w:rPr>
          <w:b/>
          <w:bCs/>
        </w:rPr>
      </w:pPr>
    </w:p>
    <w:p w14:paraId="68512F12" w14:textId="5C17CF3F" w:rsidR="006363E8" w:rsidRDefault="004A259C" w:rsidP="006363E8">
      <w:pPr>
        <w:spacing w:line="480" w:lineRule="auto"/>
        <w:ind w:firstLine="720"/>
      </w:pPr>
      <w:r>
        <w:lastRenderedPageBreak/>
        <w:t xml:space="preserve">Secondly, we move to compare and contrast </w:t>
      </w:r>
      <w:bookmarkStart w:id="39" w:name="OLE_LINK63"/>
      <w:bookmarkStart w:id="40" w:name="OLE_LINK64"/>
      <w:r>
        <w:t>three factors (</w:t>
      </w:r>
      <w:r w:rsidRPr="00613E7F">
        <w:t>market risk premium, small minus big, high minus low</w:t>
      </w:r>
      <w:r>
        <w:t xml:space="preserve">). </w:t>
      </w:r>
      <w:bookmarkEnd w:id="39"/>
      <w:bookmarkEnd w:id="40"/>
      <w:r w:rsidRPr="007418B7">
        <w:t>Market risk premium is the</w:t>
      </w:r>
      <w:r>
        <w:t xml:space="preserve"> </w:t>
      </w:r>
      <w:r w:rsidRPr="007418B7">
        <w:t>difference between the expected return of the market and the risk-free rate.</w:t>
      </w:r>
      <w:r>
        <w:t xml:space="preserve"> Therefore, it holds a similar tendency with the universe </w:t>
      </w:r>
      <w:r>
        <w:rPr>
          <w:rFonts w:hint="eastAsia"/>
        </w:rPr>
        <w:t>return</w:t>
      </w:r>
      <w:r>
        <w:t xml:space="preserve">s we analyze in the first phase. Market risk premium </w:t>
      </w:r>
      <w:r w:rsidRPr="004B266C">
        <w:t>provides an investor with an excess return as compensation for the additional volatility of returns over and above the risk-free rate.</w:t>
      </w:r>
      <w:r>
        <w:t xml:space="preserve"> Small minus big </w:t>
      </w:r>
      <w:r w:rsidRPr="00496227">
        <w:t xml:space="preserve">measures the historic excess of small-cap companies over big-cap companies. </w:t>
      </w:r>
      <w:r w:rsidR="006363E8" w:rsidRPr="00496227">
        <w:t xml:space="preserve">Figure 9 indicates that </w:t>
      </w:r>
      <w:r w:rsidRPr="00496227">
        <w:t xml:space="preserve">South Korea, China, and India hold relatively higher mean values for SMB. High minus low accounts for the spread in returns between companies with a high book-to-market value ratio (value companies) and companies with a low book-to-market value ratio (growth companies). </w:t>
      </w:r>
      <w:bookmarkStart w:id="41" w:name="OLE_LINK71"/>
      <w:bookmarkStart w:id="42" w:name="OLE_LINK72"/>
      <w:r w:rsidR="006363E8" w:rsidRPr="00496227">
        <w:t>In Figure 10, it is clear to show that a</w:t>
      </w:r>
      <w:r w:rsidRPr="00496227">
        <w:t>ll countries except China have positive average HML values.</w:t>
      </w:r>
      <w:r w:rsidR="009C7803">
        <w:t xml:space="preserve"> </w:t>
      </w:r>
      <w:bookmarkEnd w:id="41"/>
      <w:bookmarkEnd w:id="42"/>
    </w:p>
    <w:p w14:paraId="2D20CE69" w14:textId="77777777" w:rsidR="006363E8" w:rsidRDefault="006363E8" w:rsidP="006363E8">
      <w:pPr>
        <w:spacing w:line="480" w:lineRule="auto"/>
        <w:ind w:firstLine="720"/>
      </w:pPr>
    </w:p>
    <w:p w14:paraId="28502E86" w14:textId="4E161D25" w:rsidR="006363E8" w:rsidRDefault="009E55A4" w:rsidP="006363E8">
      <w:pPr>
        <w:spacing w:line="480" w:lineRule="auto"/>
        <w:ind w:firstLine="720"/>
      </w:pPr>
      <w:r>
        <w:rPr>
          <w:noProof/>
        </w:rPr>
        <w:drawing>
          <wp:inline distT="0" distB="0" distL="0" distR="0" wp14:anchorId="4168FD0B" wp14:editId="07EC8670">
            <wp:extent cx="4682532" cy="2552282"/>
            <wp:effectExtent l="0" t="0" r="16510" b="13335"/>
            <wp:docPr id="12" name="Chart 12">
              <a:extLst xmlns:a="http://schemas.openxmlformats.org/drawingml/2006/main">
                <a:ext uri="{FF2B5EF4-FFF2-40B4-BE49-F238E27FC236}">
                  <a16:creationId xmlns:a16="http://schemas.microsoft.com/office/drawing/2014/main" id="{598224F2-45C1-7948-A04A-B61A0ABC34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C3689F" w14:textId="1A486D7B" w:rsidR="006363E8" w:rsidRPr="006363E8" w:rsidRDefault="006363E8" w:rsidP="006363E8">
      <w:pPr>
        <w:spacing w:line="480" w:lineRule="auto"/>
        <w:ind w:firstLine="720"/>
        <w:jc w:val="center"/>
        <w:rPr>
          <w:b/>
          <w:bCs/>
        </w:rPr>
      </w:pPr>
      <w:bookmarkStart w:id="43" w:name="OLE_LINK61"/>
      <w:bookmarkStart w:id="44" w:name="OLE_LINK62"/>
      <w:r w:rsidRPr="006363E8">
        <w:rPr>
          <w:b/>
          <w:bCs/>
        </w:rPr>
        <w:t xml:space="preserve">Figure 9: </w:t>
      </w:r>
      <w:r w:rsidR="009E55A4">
        <w:rPr>
          <w:b/>
          <w:bCs/>
        </w:rPr>
        <w:t xml:space="preserve">average </w:t>
      </w:r>
      <w:r w:rsidRPr="006363E8">
        <w:rPr>
          <w:b/>
          <w:bCs/>
        </w:rPr>
        <w:t>SMB based on different countries</w:t>
      </w:r>
    </w:p>
    <w:bookmarkEnd w:id="43"/>
    <w:bookmarkEnd w:id="44"/>
    <w:p w14:paraId="196CD7D3" w14:textId="716B3A7F" w:rsidR="006363E8" w:rsidRDefault="00737E3B" w:rsidP="00E339BF">
      <w:pPr>
        <w:spacing w:line="480" w:lineRule="auto"/>
        <w:ind w:firstLine="720"/>
      </w:pPr>
      <w:r>
        <w:rPr>
          <w:noProof/>
        </w:rPr>
        <w:lastRenderedPageBreak/>
        <w:drawing>
          <wp:inline distT="0" distB="0" distL="0" distR="0" wp14:anchorId="39B0025D" wp14:editId="39EB5B86">
            <wp:extent cx="4833257" cy="2375828"/>
            <wp:effectExtent l="0" t="0" r="18415" b="12065"/>
            <wp:docPr id="9" name="Chart 9">
              <a:extLst xmlns:a="http://schemas.openxmlformats.org/drawingml/2006/main">
                <a:ext uri="{FF2B5EF4-FFF2-40B4-BE49-F238E27FC236}">
                  <a16:creationId xmlns:a16="http://schemas.microsoft.com/office/drawing/2014/main" id="{3A70A3C1-8152-294C-B506-8D530F4A87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A9564FE" w14:textId="694FBA9B" w:rsidR="006363E8" w:rsidRDefault="006363E8" w:rsidP="00344FF9">
      <w:pPr>
        <w:spacing w:line="480" w:lineRule="auto"/>
        <w:ind w:firstLine="720"/>
        <w:jc w:val="center"/>
        <w:rPr>
          <w:b/>
          <w:bCs/>
        </w:rPr>
      </w:pPr>
      <w:r w:rsidRPr="006363E8">
        <w:rPr>
          <w:b/>
          <w:bCs/>
        </w:rPr>
        <w:t xml:space="preserve">Figure </w:t>
      </w:r>
      <w:r>
        <w:rPr>
          <w:b/>
          <w:bCs/>
        </w:rPr>
        <w:t>10</w:t>
      </w:r>
      <w:r w:rsidRPr="006363E8">
        <w:rPr>
          <w:b/>
          <w:bCs/>
        </w:rPr>
        <w:t xml:space="preserve">: </w:t>
      </w:r>
      <w:r w:rsidR="00737E3B">
        <w:rPr>
          <w:rFonts w:hint="eastAsia"/>
          <w:b/>
          <w:bCs/>
        </w:rPr>
        <w:t>average</w:t>
      </w:r>
      <w:r w:rsidR="00737E3B">
        <w:rPr>
          <w:b/>
          <w:bCs/>
        </w:rPr>
        <w:t xml:space="preserve"> </w:t>
      </w:r>
      <w:r>
        <w:rPr>
          <w:b/>
          <w:bCs/>
        </w:rPr>
        <w:t>HML</w:t>
      </w:r>
      <w:r w:rsidRPr="006363E8">
        <w:rPr>
          <w:b/>
          <w:bCs/>
        </w:rPr>
        <w:t xml:space="preserve"> based on different countries</w:t>
      </w:r>
    </w:p>
    <w:p w14:paraId="32B6CC70" w14:textId="77777777" w:rsidR="00344FF9" w:rsidRPr="00344FF9" w:rsidRDefault="00344FF9" w:rsidP="00344FF9">
      <w:pPr>
        <w:spacing w:line="480" w:lineRule="auto"/>
        <w:ind w:firstLine="720"/>
        <w:jc w:val="center"/>
        <w:rPr>
          <w:b/>
          <w:bCs/>
        </w:rPr>
      </w:pPr>
    </w:p>
    <w:p w14:paraId="1537E887" w14:textId="7FA07AD6" w:rsidR="00E339BF" w:rsidRDefault="00E339BF" w:rsidP="00E339BF">
      <w:pPr>
        <w:spacing w:line="480" w:lineRule="auto"/>
        <w:ind w:firstLine="720"/>
      </w:pPr>
      <w:r>
        <w:t>For the third phase, we analyze the exposures to these factors</w:t>
      </w:r>
      <w:bookmarkStart w:id="45" w:name="OLE_LINK77"/>
      <w:bookmarkStart w:id="46" w:name="OLE_LINK78"/>
      <w:r>
        <w:t xml:space="preserve">. In order to apply the Fama-French three </w:t>
      </w:r>
      <w:r w:rsidRPr="00013DB7">
        <w:t>factor model, we rescale all factors to the Asian market level by multiplying the market capitalization weight</w:t>
      </w:r>
      <w:bookmarkEnd w:id="45"/>
      <w:bookmarkEnd w:id="46"/>
      <w:r w:rsidRPr="00013DB7">
        <w:t xml:space="preserve">. For the market risk premium, all betas are </w:t>
      </w:r>
      <w:r w:rsidRPr="00013DB7">
        <w:rPr>
          <w:rFonts w:hint="eastAsia"/>
        </w:rPr>
        <w:t>sta</w:t>
      </w:r>
      <w:r w:rsidRPr="00013DB7">
        <w:t xml:space="preserve">tistically significant and much higher than 1, indicating </w:t>
      </w:r>
      <w:bookmarkStart w:id="47" w:name="OLE_LINK79"/>
      <w:bookmarkStart w:id="48" w:name="OLE_LINK80"/>
      <w:r w:rsidRPr="00013DB7">
        <w:t>each country’s market is more volatile than the Asian market as a whole</w:t>
      </w:r>
      <w:bookmarkEnd w:id="47"/>
      <w:bookmarkEnd w:id="48"/>
      <w:r w:rsidRPr="00013DB7">
        <w:t xml:space="preserve">. Among them, Singapore is the most volatile one. For the size effect factor, </w:t>
      </w:r>
      <w:bookmarkStart w:id="49" w:name="OLE_LINK81"/>
      <w:bookmarkStart w:id="50" w:name="OLE_LINK82"/>
      <w:r w:rsidRPr="00013DB7">
        <w:t>Hong Kong and Singapore have positive exposure</w:t>
      </w:r>
      <w:bookmarkEnd w:id="49"/>
      <w:bookmarkEnd w:id="50"/>
      <w:r w:rsidRPr="00013DB7">
        <w:t>. Although the beta value is much lower than 1, this still explains the portfolios’ returns are attributable to the SMB factor while these two countries’ portfolios don't move as dramatically as when the overall market moves.</w:t>
      </w:r>
      <w:bookmarkStart w:id="51" w:name="_Hlk50410535"/>
      <w:bookmarkStart w:id="52" w:name="OLE_LINK87"/>
      <w:r w:rsidRPr="00013DB7">
        <w:t xml:space="preserve"> </w:t>
      </w:r>
      <w:bookmarkStart w:id="53" w:name="OLE_LINK83"/>
      <w:bookmarkStart w:id="54" w:name="OLE_LINK84"/>
      <w:r w:rsidRPr="00013DB7">
        <w:t>For China, India and South Korea</w:t>
      </w:r>
      <w:bookmarkEnd w:id="51"/>
      <w:bookmarkEnd w:id="52"/>
      <w:r w:rsidRPr="00013DB7">
        <w:t xml:space="preserve">, the coefficients are negative, showing </w:t>
      </w:r>
      <w:bookmarkStart w:id="55" w:name="OLE_LINK85"/>
      <w:bookmarkStart w:id="56" w:name="OLE_LINK86"/>
      <w:r w:rsidRPr="00013DB7">
        <w:t>the portfolios are negatively correlated to the size effect factor</w:t>
      </w:r>
      <w:bookmarkEnd w:id="55"/>
      <w:bookmarkEnd w:id="56"/>
      <w:r w:rsidRPr="00013DB7">
        <w:t xml:space="preserve">. </w:t>
      </w:r>
      <w:bookmarkEnd w:id="53"/>
      <w:bookmarkEnd w:id="54"/>
      <w:r w:rsidRPr="00013DB7">
        <w:t>These countries comprise almost all of the companies with large capitalization markets. For the value premium, India, Singapore</w:t>
      </w:r>
      <w:r>
        <w:t xml:space="preserve">, and South Korea have positive coefficients. Their excess returns can partly attribute to the value premium. China and Hong Kong take the negative values. Their portfolios are more composed of growth companies. It is noticeable that </w:t>
      </w:r>
      <w:r>
        <w:lastRenderedPageBreak/>
        <w:t xml:space="preserve">Singapore shows positive values for SMB and HML factor while China holds both negative values. Their stock compositions are greatly different. </w:t>
      </w:r>
    </w:p>
    <w:p w14:paraId="684E068B" w14:textId="77777777" w:rsidR="000039BD" w:rsidRDefault="000039BD" w:rsidP="000039BD">
      <w:pPr>
        <w:spacing w:line="480" w:lineRule="auto"/>
        <w:rPr>
          <w:b/>
        </w:rPr>
      </w:pPr>
    </w:p>
    <w:p w14:paraId="3A38D846" w14:textId="6D368BA2" w:rsidR="007D6267" w:rsidRDefault="007D6267" w:rsidP="000039BD">
      <w:pPr>
        <w:spacing w:line="480" w:lineRule="auto"/>
        <w:rPr>
          <w:b/>
          <w:sz w:val="40"/>
          <w:szCs w:val="40"/>
        </w:rPr>
      </w:pPr>
      <w:r w:rsidRPr="000039BD">
        <w:rPr>
          <w:b/>
          <w:sz w:val="40"/>
          <w:szCs w:val="40"/>
        </w:rPr>
        <w:t>Conclusion</w:t>
      </w:r>
    </w:p>
    <w:p w14:paraId="61AE6942" w14:textId="42D1550D" w:rsidR="00581327" w:rsidRPr="00620F7D" w:rsidRDefault="00581327" w:rsidP="00581327">
      <w:pPr>
        <w:spacing w:line="480" w:lineRule="auto"/>
        <w:ind w:firstLine="720"/>
      </w:pPr>
      <w:r>
        <w:t xml:space="preserve">This paper investigates the relationship between expected stock returns and three factors (market risk premium, small minus big, high minus low) in five emerging Asian markets, namely China, Hong Kong, South Korea, Singapore, and India.  The overall findings of the research show that it is noteworthy and efficient to construct a profitable investment strategy by using </w:t>
      </w:r>
      <w:proofErr w:type="spellStart"/>
      <w:r>
        <w:t>Fama</w:t>
      </w:r>
      <w:proofErr w:type="spellEnd"/>
      <w:r>
        <w:t xml:space="preserve">-French </w:t>
      </w:r>
      <w:r w:rsidR="00344FF9">
        <w:t>t</w:t>
      </w:r>
      <w:r>
        <w:t xml:space="preserve">hree </w:t>
      </w:r>
      <w:r w:rsidR="00344FF9">
        <w:t>f</w:t>
      </w:r>
      <w:r>
        <w:t xml:space="preserve">actor model. The possible outcomes driven by </w:t>
      </w:r>
      <w:proofErr w:type="spellStart"/>
      <w:r>
        <w:t>Fama</w:t>
      </w:r>
      <w:proofErr w:type="spellEnd"/>
      <w:r>
        <w:t xml:space="preserve">-French </w:t>
      </w:r>
      <w:r w:rsidR="00344FF9">
        <w:t>t</w:t>
      </w:r>
      <w:r>
        <w:t xml:space="preserve">hree </w:t>
      </w:r>
      <w:r w:rsidR="00344FF9">
        <w:t>f</w:t>
      </w:r>
      <w:r>
        <w:t xml:space="preserve">actor model will be better than Capital Asset Pricing Model that only focuses on one factor. In other words, the </w:t>
      </w:r>
      <w:proofErr w:type="spellStart"/>
      <w:r>
        <w:t>Fama</w:t>
      </w:r>
      <w:proofErr w:type="spellEnd"/>
      <w:r>
        <w:t xml:space="preserve">-French three factor model is an improvement over the CAPM to explain the return behavior in emerging Asian markets. This is meaningful for investors who want to invest stock market in Asia market because it will give them a better tool </w:t>
      </w:r>
      <w:r w:rsidR="00344FF9">
        <w:t xml:space="preserve">to </w:t>
      </w:r>
      <w:r>
        <w:t xml:space="preserve">evaluate the portfolio performance and help them make a profitable decision. More specifically, </w:t>
      </w:r>
      <w:r w:rsidR="00344FF9">
        <w:t>w</w:t>
      </w:r>
      <w:r w:rsidRPr="00620F7D">
        <w:t>e f</w:t>
      </w:r>
      <w:r w:rsidR="00344FF9">
        <w:t>ind</w:t>
      </w:r>
      <w:r w:rsidRPr="00620F7D">
        <w:t xml:space="preserve"> evidence to support that </w:t>
      </w:r>
      <w:proofErr w:type="spellStart"/>
      <w:r w:rsidRPr="00620F7D">
        <w:t>Fama</w:t>
      </w:r>
      <w:proofErr w:type="spellEnd"/>
      <w:r w:rsidRPr="00620F7D">
        <w:t>-French three factor model indeed explain</w:t>
      </w:r>
      <w:r w:rsidR="00344FF9">
        <w:t>s</w:t>
      </w:r>
      <w:r w:rsidRPr="00620F7D">
        <w:t xml:space="preserve"> cross-sectional variations in portfolio returns for each of the five areas. South Korea, China, and India hold relatively higher mean values for SMB (Small minus Big). Besides, the result shows that all countries except China have positive average HML values (High minus Low). In order to solve one problem of the original dataset, we rescale all factors to the Asian market level by multiplying the market capitalization weight. After conducting the interaction regression model, we found that each country’s market is more volatile than the Asian market as a whole</w:t>
      </w:r>
      <w:r>
        <w:t xml:space="preserve">, </w:t>
      </w:r>
      <w:r w:rsidRPr="00620F7D">
        <w:t>and Hong Kong and Singapore have positive exposure for the size effect. The portfolios are negatively correlated to the size effect factor for China, India and South Korea.</w:t>
      </w:r>
    </w:p>
    <w:p w14:paraId="1B532C7F" w14:textId="3C9C0A2D" w:rsidR="007D6267" w:rsidRDefault="007D6267" w:rsidP="00E339BF">
      <w:pPr>
        <w:spacing w:line="480" w:lineRule="auto"/>
        <w:ind w:firstLine="720"/>
      </w:pPr>
      <w:r w:rsidRPr="00620F7D">
        <w:lastRenderedPageBreak/>
        <w:t xml:space="preserve">We have </w:t>
      </w:r>
      <w:r w:rsidRPr="00620F7D">
        <w:rPr>
          <w:rFonts w:hint="eastAsia"/>
        </w:rPr>
        <w:t>limited</w:t>
      </w:r>
      <w:r w:rsidRPr="00620F7D">
        <w:t xml:space="preserve"> time series return data ranging from January 2005 to December 2012. We suggest for the further research, it is helpful to create </w:t>
      </w:r>
      <w:r w:rsidRPr="00620F7D">
        <w:rPr>
          <w:rFonts w:hint="eastAsia"/>
        </w:rPr>
        <w:t>size</w:t>
      </w:r>
      <w:r w:rsidRPr="00620F7D">
        <w:t xml:space="preserve"> and value sorted portfolios using updated data for selected companies. With the up-to-date data, further steps can be done to check the validity of Fama-French three factor model in today’s Asian market and see how it varies over time.</w:t>
      </w:r>
      <w:r>
        <w:t xml:space="preserve"> </w:t>
      </w:r>
    </w:p>
    <w:p w14:paraId="076AF007" w14:textId="77777777" w:rsidR="009E55A4" w:rsidRDefault="009E55A4" w:rsidP="000039BD">
      <w:pPr>
        <w:spacing w:line="480" w:lineRule="auto"/>
        <w:rPr>
          <w:b/>
          <w:bCs/>
          <w:sz w:val="40"/>
          <w:szCs w:val="40"/>
        </w:rPr>
      </w:pPr>
    </w:p>
    <w:p w14:paraId="797CB08C" w14:textId="679CDA2D" w:rsidR="000039BD" w:rsidRDefault="000039BD" w:rsidP="000039BD">
      <w:pPr>
        <w:spacing w:line="480" w:lineRule="auto"/>
        <w:rPr>
          <w:b/>
          <w:bCs/>
          <w:sz w:val="40"/>
          <w:szCs w:val="40"/>
        </w:rPr>
      </w:pPr>
      <w:r w:rsidRPr="001211A2">
        <w:rPr>
          <w:b/>
          <w:bCs/>
          <w:sz w:val="40"/>
          <w:szCs w:val="40"/>
        </w:rPr>
        <w:t>Ack</w:t>
      </w:r>
      <w:r w:rsidR="001211A2" w:rsidRPr="001211A2">
        <w:rPr>
          <w:b/>
          <w:bCs/>
          <w:sz w:val="40"/>
          <w:szCs w:val="40"/>
        </w:rPr>
        <w:t>nowledgement</w:t>
      </w:r>
    </w:p>
    <w:p w14:paraId="7FAA67B1" w14:textId="29D0CA3A" w:rsidR="001211A2" w:rsidRPr="001211A2" w:rsidRDefault="001211A2" w:rsidP="00013DB7">
      <w:pPr>
        <w:spacing w:line="480" w:lineRule="auto"/>
        <w:ind w:firstLine="720"/>
      </w:pPr>
      <w:r w:rsidRPr="001211A2">
        <w:t xml:space="preserve">We deeply appreciate the opportunity to work on the summer research project sponsored </w:t>
      </w:r>
      <w:r>
        <w:t xml:space="preserve">by the Herbert Brown Mayo Summer Research Fellowship from UNC Economics Department. We would like to thank our advisor, Prof. Mike Aguilar, for his mentorship and guidance. From brainstorming the potential research topics to constructing the empirical model, </w:t>
      </w:r>
      <w:r w:rsidR="00496227">
        <w:t>this research project would not have been made possible without his immensurable amount of support.</w:t>
      </w:r>
    </w:p>
    <w:p w14:paraId="57ADC48D" w14:textId="45ADC3C2" w:rsidR="00620F7D" w:rsidRDefault="00620F7D" w:rsidP="000039BD">
      <w:pPr>
        <w:spacing w:line="480" w:lineRule="auto"/>
        <w:rPr>
          <w:b/>
          <w:bCs/>
          <w:sz w:val="40"/>
          <w:szCs w:val="40"/>
        </w:rPr>
      </w:pPr>
    </w:p>
    <w:p w14:paraId="363BD513" w14:textId="306A0D73" w:rsidR="00BE748A" w:rsidRDefault="00BE748A" w:rsidP="000039BD">
      <w:pPr>
        <w:spacing w:line="480" w:lineRule="auto"/>
        <w:rPr>
          <w:b/>
          <w:bCs/>
          <w:sz w:val="40"/>
          <w:szCs w:val="40"/>
        </w:rPr>
      </w:pPr>
    </w:p>
    <w:p w14:paraId="6F92BC8E" w14:textId="6B58943C" w:rsidR="00BE748A" w:rsidRDefault="00BE748A" w:rsidP="000039BD">
      <w:pPr>
        <w:spacing w:line="480" w:lineRule="auto"/>
        <w:rPr>
          <w:b/>
          <w:bCs/>
          <w:sz w:val="40"/>
          <w:szCs w:val="40"/>
        </w:rPr>
      </w:pPr>
    </w:p>
    <w:p w14:paraId="403BBD5B" w14:textId="4EDC13C4" w:rsidR="00BE748A" w:rsidRDefault="00BE748A" w:rsidP="000039BD">
      <w:pPr>
        <w:spacing w:line="480" w:lineRule="auto"/>
        <w:rPr>
          <w:b/>
          <w:bCs/>
          <w:sz w:val="40"/>
          <w:szCs w:val="40"/>
        </w:rPr>
      </w:pPr>
    </w:p>
    <w:p w14:paraId="6BEF1985" w14:textId="4EB302EB" w:rsidR="00BE748A" w:rsidRDefault="00BE748A" w:rsidP="000039BD">
      <w:pPr>
        <w:spacing w:line="480" w:lineRule="auto"/>
        <w:rPr>
          <w:b/>
          <w:bCs/>
          <w:sz w:val="40"/>
          <w:szCs w:val="40"/>
        </w:rPr>
      </w:pPr>
    </w:p>
    <w:p w14:paraId="479CE9DD" w14:textId="77777777" w:rsidR="0070691D" w:rsidRDefault="0070691D" w:rsidP="000039BD">
      <w:pPr>
        <w:spacing w:line="480" w:lineRule="auto"/>
        <w:rPr>
          <w:b/>
          <w:bCs/>
          <w:sz w:val="40"/>
          <w:szCs w:val="40"/>
        </w:rPr>
      </w:pPr>
    </w:p>
    <w:p w14:paraId="3B71E563" w14:textId="192BFD30" w:rsidR="001211A2" w:rsidRDefault="00496227" w:rsidP="000039BD">
      <w:pPr>
        <w:spacing w:line="480" w:lineRule="auto"/>
        <w:rPr>
          <w:b/>
          <w:bCs/>
          <w:sz w:val="40"/>
          <w:szCs w:val="40"/>
        </w:rPr>
      </w:pPr>
      <w:r>
        <w:rPr>
          <w:b/>
          <w:bCs/>
          <w:sz w:val="40"/>
          <w:szCs w:val="40"/>
        </w:rPr>
        <w:lastRenderedPageBreak/>
        <w:t>References</w:t>
      </w:r>
    </w:p>
    <w:p w14:paraId="355D43EC" w14:textId="02785B0E" w:rsidR="00BE748A" w:rsidRP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r w:rsidRPr="00BE748A">
        <w:rPr>
          <w:rFonts w:eastAsiaTheme="minorEastAsia"/>
          <w:color w:val="000000"/>
        </w:rPr>
        <w:t xml:space="preserve">Chui, A. C. W., and K. C. J. Wei, (1998), “Book-to-market, firm size and the turn-of-the year </w:t>
      </w:r>
      <w:r>
        <w:rPr>
          <w:rFonts w:eastAsiaTheme="minorEastAsia"/>
          <w:color w:val="000000"/>
        </w:rPr>
        <w:tab/>
      </w:r>
      <w:r w:rsidRPr="00BE748A">
        <w:rPr>
          <w:rFonts w:eastAsiaTheme="minorEastAsia"/>
          <w:color w:val="000000"/>
        </w:rPr>
        <w:t xml:space="preserve">effect: Evidence from Pacific Basin emerging markets,” Pacific Basin Finance Journal </w:t>
      </w:r>
      <w:r>
        <w:rPr>
          <w:rFonts w:eastAsiaTheme="minorEastAsia"/>
          <w:color w:val="000000"/>
        </w:rPr>
        <w:tab/>
      </w:r>
      <w:r w:rsidRPr="00BE748A">
        <w:rPr>
          <w:rFonts w:eastAsiaTheme="minorEastAsia"/>
          <w:color w:val="000000"/>
        </w:rPr>
        <w:t>6:275–93.</w:t>
      </w:r>
    </w:p>
    <w:p w14:paraId="560374E0" w14:textId="53F1840B" w:rsidR="00BE748A" w:rsidRP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proofErr w:type="spellStart"/>
      <w:r w:rsidRPr="00BE748A">
        <w:rPr>
          <w:rFonts w:eastAsiaTheme="minorEastAsia"/>
          <w:color w:val="000000"/>
        </w:rPr>
        <w:t>Chander</w:t>
      </w:r>
      <w:proofErr w:type="spellEnd"/>
      <w:r w:rsidRPr="00BE748A">
        <w:rPr>
          <w:rFonts w:eastAsiaTheme="minorEastAsia"/>
          <w:color w:val="000000"/>
        </w:rPr>
        <w:t xml:space="preserve">, Ramesh and Mehta, Kiran, (2010), “Application of </w:t>
      </w:r>
      <w:proofErr w:type="spellStart"/>
      <w:r w:rsidRPr="00BE748A">
        <w:rPr>
          <w:rFonts w:eastAsiaTheme="minorEastAsia"/>
          <w:color w:val="000000"/>
        </w:rPr>
        <w:t>Fama</w:t>
      </w:r>
      <w:proofErr w:type="spellEnd"/>
      <w:r w:rsidRPr="00BE748A">
        <w:rPr>
          <w:rFonts w:eastAsiaTheme="minorEastAsia"/>
          <w:color w:val="000000"/>
        </w:rPr>
        <w:t xml:space="preserve"> and French Three Factor </w:t>
      </w:r>
      <w:r>
        <w:rPr>
          <w:rFonts w:eastAsiaTheme="minorEastAsia"/>
          <w:color w:val="000000"/>
        </w:rPr>
        <w:tab/>
      </w:r>
      <w:r w:rsidRPr="00BE748A">
        <w:rPr>
          <w:rFonts w:eastAsiaTheme="minorEastAsia"/>
          <w:color w:val="000000"/>
        </w:rPr>
        <w:t xml:space="preserve">Model and Stock Return Behavior in Indian Capital Market,” Asia-Pacific Business </w:t>
      </w:r>
      <w:r>
        <w:rPr>
          <w:rFonts w:eastAsiaTheme="minorEastAsia"/>
          <w:color w:val="000000"/>
        </w:rPr>
        <w:tab/>
      </w:r>
      <w:r w:rsidRPr="00BE748A">
        <w:rPr>
          <w:rFonts w:eastAsiaTheme="minorEastAsia"/>
          <w:color w:val="000000"/>
        </w:rPr>
        <w:t>Review Vol. VI, No. 4</w:t>
      </w:r>
    </w:p>
    <w:p w14:paraId="5DA786EF" w14:textId="7363879D" w:rsidR="00BE748A" w:rsidRP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proofErr w:type="spellStart"/>
      <w:r w:rsidRPr="00BE748A">
        <w:rPr>
          <w:rFonts w:eastAsiaTheme="minorEastAsia"/>
          <w:color w:val="000000"/>
        </w:rPr>
        <w:t>Fama</w:t>
      </w:r>
      <w:proofErr w:type="spellEnd"/>
      <w:r w:rsidRPr="00BE748A">
        <w:rPr>
          <w:rFonts w:eastAsiaTheme="minorEastAsia"/>
          <w:color w:val="000000"/>
        </w:rPr>
        <w:t xml:space="preserve">, F. Eugene and French R. Kenneth, (1992), “The Cross-Section of Expected Stock </w:t>
      </w:r>
      <w:r>
        <w:rPr>
          <w:rFonts w:eastAsiaTheme="minorEastAsia"/>
          <w:color w:val="000000"/>
        </w:rPr>
        <w:tab/>
      </w:r>
      <w:r w:rsidRPr="00BE748A">
        <w:rPr>
          <w:rFonts w:eastAsiaTheme="minorEastAsia"/>
          <w:color w:val="000000"/>
        </w:rPr>
        <w:t xml:space="preserve">Returns,” Journal of Finance, Vol. 47, pp. 427-465. </w:t>
      </w:r>
    </w:p>
    <w:p w14:paraId="7EF060FA" w14:textId="4C568846" w:rsidR="00BE748A" w:rsidRP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proofErr w:type="spellStart"/>
      <w:r w:rsidRPr="00BE748A">
        <w:rPr>
          <w:rFonts w:eastAsiaTheme="minorEastAsia"/>
          <w:color w:val="000000"/>
        </w:rPr>
        <w:t>Fama</w:t>
      </w:r>
      <w:proofErr w:type="spellEnd"/>
      <w:r w:rsidRPr="00BE748A">
        <w:rPr>
          <w:rFonts w:eastAsiaTheme="minorEastAsia"/>
          <w:color w:val="000000"/>
        </w:rPr>
        <w:t xml:space="preserve">, F. Eugene and French R. Kenneth, (1993), “Common Risk Factors in the Returns on </w:t>
      </w:r>
      <w:r>
        <w:rPr>
          <w:rFonts w:eastAsiaTheme="minorEastAsia"/>
          <w:color w:val="000000"/>
        </w:rPr>
        <w:tab/>
      </w:r>
      <w:r w:rsidRPr="00BE748A">
        <w:rPr>
          <w:rFonts w:eastAsiaTheme="minorEastAsia"/>
          <w:color w:val="000000"/>
        </w:rPr>
        <w:t xml:space="preserve">Stocks and Bonds,” Journal of Financial Economics, Vol. 33, pp. 3-65. </w:t>
      </w:r>
    </w:p>
    <w:p w14:paraId="66C55513" w14:textId="2EB6B12F" w:rsidR="00BE748A" w:rsidRP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proofErr w:type="spellStart"/>
      <w:r w:rsidRPr="00BE748A">
        <w:rPr>
          <w:rFonts w:eastAsiaTheme="minorEastAsia"/>
          <w:color w:val="000000"/>
        </w:rPr>
        <w:t>Fama</w:t>
      </w:r>
      <w:proofErr w:type="spellEnd"/>
      <w:r w:rsidRPr="00BE748A">
        <w:rPr>
          <w:rFonts w:eastAsiaTheme="minorEastAsia"/>
          <w:color w:val="000000"/>
        </w:rPr>
        <w:t xml:space="preserve">, F. Eugene and French R. Kenneth, (1995), “Size and Book-to-Market Factors in Earnings </w:t>
      </w:r>
      <w:r>
        <w:rPr>
          <w:rFonts w:eastAsiaTheme="minorEastAsia"/>
          <w:color w:val="000000"/>
        </w:rPr>
        <w:tab/>
      </w:r>
      <w:r w:rsidRPr="00BE748A">
        <w:rPr>
          <w:rFonts w:eastAsiaTheme="minorEastAsia"/>
          <w:color w:val="000000"/>
        </w:rPr>
        <w:t xml:space="preserve">and Returns,” Journal of Finance, Vol. 50, pp. 131-155. </w:t>
      </w:r>
    </w:p>
    <w:p w14:paraId="3B5D964A" w14:textId="31B8240D" w:rsidR="00BE748A" w:rsidRP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proofErr w:type="spellStart"/>
      <w:r w:rsidRPr="00BE748A">
        <w:rPr>
          <w:rFonts w:eastAsiaTheme="minorEastAsia"/>
          <w:color w:val="000000"/>
        </w:rPr>
        <w:t>Fama</w:t>
      </w:r>
      <w:proofErr w:type="spellEnd"/>
      <w:r w:rsidRPr="00BE748A">
        <w:rPr>
          <w:rFonts w:eastAsiaTheme="minorEastAsia"/>
          <w:color w:val="000000"/>
        </w:rPr>
        <w:t xml:space="preserve">, F. Eugene and French R. Kenneth, (2015), “A five-factor asset pricing model,” Journal of </w:t>
      </w:r>
      <w:r>
        <w:rPr>
          <w:rFonts w:eastAsiaTheme="minorEastAsia"/>
          <w:color w:val="000000"/>
        </w:rPr>
        <w:tab/>
      </w:r>
      <w:r w:rsidRPr="00BE748A">
        <w:rPr>
          <w:rFonts w:eastAsiaTheme="minorEastAsia"/>
          <w:color w:val="000000"/>
        </w:rPr>
        <w:t xml:space="preserve">Financial Economics 116:1–22. </w:t>
      </w:r>
    </w:p>
    <w:p w14:paraId="105B6D4D" w14:textId="004BE79C" w:rsidR="00BE748A" w:rsidRP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r w:rsidRPr="00BE748A">
        <w:rPr>
          <w:rFonts w:eastAsiaTheme="minorEastAsia"/>
          <w:color w:val="000000"/>
        </w:rPr>
        <w:t xml:space="preserve">Lintner, J. (1965), “The valuation of risk assets and the selection of risky investments in stock </w:t>
      </w:r>
      <w:r>
        <w:rPr>
          <w:rFonts w:eastAsiaTheme="minorEastAsia"/>
          <w:color w:val="000000"/>
        </w:rPr>
        <w:tab/>
      </w:r>
      <w:r w:rsidRPr="00BE748A">
        <w:rPr>
          <w:rFonts w:eastAsiaTheme="minorEastAsia"/>
          <w:color w:val="000000"/>
        </w:rPr>
        <w:t xml:space="preserve">portfolios and capital budgets. Review of Economics and Statistics,” 47(1), 12-37. </w:t>
      </w:r>
    </w:p>
    <w:p w14:paraId="1E7CE357" w14:textId="21F68F26" w:rsid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r w:rsidRPr="00BE748A">
        <w:rPr>
          <w:rFonts w:eastAsiaTheme="minorEastAsia"/>
          <w:color w:val="000000"/>
        </w:rPr>
        <w:t>Markowitz, H. (1952). “Portfolio selection,” The Journal of Finance, 7(1), 77-91.</w:t>
      </w:r>
    </w:p>
    <w:p w14:paraId="0ADE5703" w14:textId="73FAC34C" w:rsidR="00096C0F" w:rsidRPr="00096C0F" w:rsidRDefault="00096C0F" w:rsidP="00096C0F">
      <w:pPr>
        <w:autoSpaceDE w:val="0"/>
        <w:autoSpaceDN w:val="0"/>
        <w:adjustRightInd w:val="0"/>
        <w:spacing w:line="480" w:lineRule="auto"/>
      </w:pPr>
      <w:proofErr w:type="spellStart"/>
      <w:r w:rsidRPr="00613E7F">
        <w:t>Marmi</w:t>
      </w:r>
      <w:proofErr w:type="spellEnd"/>
      <w:r w:rsidRPr="00613E7F">
        <w:t xml:space="preserve">, Stefano. “The Quantitative Portfolio Selection Data.” </w:t>
      </w:r>
      <w:r w:rsidRPr="00613E7F">
        <w:rPr>
          <w:i/>
          <w:iCs/>
        </w:rPr>
        <w:t xml:space="preserve">Stefano </w:t>
      </w:r>
      <w:proofErr w:type="spellStart"/>
      <w:r w:rsidRPr="00613E7F">
        <w:rPr>
          <w:i/>
          <w:iCs/>
        </w:rPr>
        <w:t>Marmi</w:t>
      </w:r>
      <w:proofErr w:type="spellEnd"/>
      <w:r w:rsidRPr="00613E7F">
        <w:rPr>
          <w:i/>
          <w:iCs/>
        </w:rPr>
        <w:t xml:space="preserve"> - Data Library</w:t>
      </w:r>
      <w:r w:rsidRPr="00613E7F">
        <w:t xml:space="preserve">, </w:t>
      </w:r>
      <w:r w:rsidRPr="00613E7F">
        <w:tab/>
        <w:t xml:space="preserve">2012, </w:t>
      </w:r>
      <w:r w:rsidRPr="00EA0998">
        <w:t>http://homepage.sns.it/marmi/Data_Library.html</w:t>
      </w:r>
    </w:p>
    <w:p w14:paraId="382A3535" w14:textId="7B00F9D3" w:rsidR="00BE748A" w:rsidRPr="00BE748A" w:rsidRDefault="00BE748A" w:rsidP="00BE748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eastAsiaTheme="minorEastAsia"/>
          <w:color w:val="000000"/>
        </w:rPr>
      </w:pPr>
      <w:r w:rsidRPr="00BE748A">
        <w:rPr>
          <w:rFonts w:eastAsiaTheme="minorEastAsia"/>
          <w:color w:val="000000"/>
        </w:rPr>
        <w:t xml:space="preserve">Sharpe, W.F., (1964), “Capital asset prices: a theory of market equilibrium under conditions of </w:t>
      </w:r>
      <w:r>
        <w:rPr>
          <w:rFonts w:eastAsiaTheme="minorEastAsia"/>
          <w:color w:val="000000"/>
        </w:rPr>
        <w:tab/>
      </w:r>
      <w:r w:rsidRPr="00BE748A">
        <w:rPr>
          <w:rFonts w:eastAsiaTheme="minorEastAsia"/>
          <w:color w:val="000000"/>
        </w:rPr>
        <w:t>risk,” J. Finance 19, 425–442.</w:t>
      </w:r>
    </w:p>
    <w:p w14:paraId="1AA8B47C" w14:textId="1E3F7B97" w:rsidR="00F6644A" w:rsidRDefault="00BE748A" w:rsidP="00BE748A">
      <w:pPr>
        <w:spacing w:line="480" w:lineRule="auto"/>
        <w:rPr>
          <w:rFonts w:eastAsiaTheme="minorEastAsia"/>
          <w:color w:val="000000"/>
        </w:rPr>
      </w:pPr>
      <w:r w:rsidRPr="00BE748A">
        <w:rPr>
          <w:rFonts w:eastAsiaTheme="minorEastAsia"/>
          <w:color w:val="000000"/>
        </w:rPr>
        <w:lastRenderedPageBreak/>
        <w:t xml:space="preserve">Qu, </w:t>
      </w:r>
      <w:proofErr w:type="spellStart"/>
      <w:r w:rsidRPr="00BE748A">
        <w:rPr>
          <w:rFonts w:eastAsiaTheme="minorEastAsia"/>
          <w:color w:val="000000"/>
        </w:rPr>
        <w:t>Qiuying</w:t>
      </w:r>
      <w:proofErr w:type="spellEnd"/>
      <w:r w:rsidRPr="00BE748A">
        <w:rPr>
          <w:rFonts w:eastAsiaTheme="minorEastAsia"/>
          <w:color w:val="000000"/>
        </w:rPr>
        <w:t xml:space="preserve"> and </w:t>
      </w:r>
      <w:proofErr w:type="spellStart"/>
      <w:r w:rsidRPr="00BE748A">
        <w:rPr>
          <w:rFonts w:eastAsiaTheme="minorEastAsia"/>
          <w:color w:val="000000"/>
        </w:rPr>
        <w:t>Xie</w:t>
      </w:r>
      <w:proofErr w:type="spellEnd"/>
      <w:r w:rsidRPr="00BE748A">
        <w:rPr>
          <w:rFonts w:eastAsiaTheme="minorEastAsia"/>
          <w:color w:val="000000"/>
        </w:rPr>
        <w:t xml:space="preserve">, </w:t>
      </w:r>
      <w:proofErr w:type="spellStart"/>
      <w:r w:rsidRPr="00BE748A">
        <w:rPr>
          <w:rFonts w:eastAsiaTheme="minorEastAsia"/>
          <w:color w:val="000000"/>
        </w:rPr>
        <w:t>Shiqing</w:t>
      </w:r>
      <w:proofErr w:type="spellEnd"/>
      <w:r w:rsidRPr="00BE748A">
        <w:rPr>
          <w:rFonts w:eastAsiaTheme="minorEastAsia"/>
          <w:color w:val="000000"/>
        </w:rPr>
        <w:t xml:space="preserve">, (2016), “The Three-Factor Model and Size and Value Premiums </w:t>
      </w:r>
      <w:r>
        <w:rPr>
          <w:rFonts w:eastAsiaTheme="minorEastAsia"/>
          <w:color w:val="000000"/>
        </w:rPr>
        <w:tab/>
      </w:r>
      <w:r w:rsidRPr="00BE748A">
        <w:rPr>
          <w:rFonts w:eastAsiaTheme="minorEastAsia"/>
          <w:color w:val="000000"/>
        </w:rPr>
        <w:t>in China’s Stock Market,” Emerging Markets Finance &amp; Trade, 52:1092–1105.</w:t>
      </w:r>
    </w:p>
    <w:p w14:paraId="047513D2" w14:textId="77777777" w:rsidR="00096C0F" w:rsidRPr="00BE748A" w:rsidRDefault="00096C0F" w:rsidP="00BE748A">
      <w:pPr>
        <w:spacing w:line="480" w:lineRule="auto"/>
        <w:rPr>
          <w:b/>
          <w:bCs/>
        </w:rPr>
      </w:pPr>
    </w:p>
    <w:sectPr w:rsidR="00096C0F" w:rsidRPr="00BE748A" w:rsidSect="004E2A01">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765A" w14:textId="77777777" w:rsidR="00FA5DD3" w:rsidRDefault="00FA5DD3" w:rsidP="00553FA1">
      <w:r>
        <w:separator/>
      </w:r>
    </w:p>
  </w:endnote>
  <w:endnote w:type="continuationSeparator" w:id="0">
    <w:p w14:paraId="3CBFD7D3" w14:textId="77777777" w:rsidR="00FA5DD3" w:rsidRDefault="00FA5DD3" w:rsidP="0055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4389961"/>
      <w:docPartObj>
        <w:docPartGallery w:val="Page Numbers (Bottom of Page)"/>
        <w:docPartUnique/>
      </w:docPartObj>
    </w:sdtPr>
    <w:sdtEndPr>
      <w:rPr>
        <w:rStyle w:val="PageNumber"/>
      </w:rPr>
    </w:sdtEndPr>
    <w:sdtContent>
      <w:p w14:paraId="26985228" w14:textId="2B2BFEF2" w:rsidR="008B55E0" w:rsidRDefault="008B55E0" w:rsidP="00E61F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8F03FA" w14:textId="77777777" w:rsidR="008B55E0" w:rsidRDefault="008B55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4820227"/>
      <w:docPartObj>
        <w:docPartGallery w:val="Page Numbers (Bottom of Page)"/>
        <w:docPartUnique/>
      </w:docPartObj>
    </w:sdtPr>
    <w:sdtEndPr>
      <w:rPr>
        <w:rStyle w:val="PageNumber"/>
      </w:rPr>
    </w:sdtEndPr>
    <w:sdtContent>
      <w:p w14:paraId="3240FD5F" w14:textId="4D5FF3A8" w:rsidR="008B55E0" w:rsidRDefault="008B55E0" w:rsidP="00E61F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D9F2B6" w14:textId="77777777" w:rsidR="008B55E0" w:rsidRDefault="008B55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CE74" w14:textId="77777777" w:rsidR="00FA5DD3" w:rsidRDefault="00FA5DD3" w:rsidP="00553FA1">
      <w:r>
        <w:separator/>
      </w:r>
    </w:p>
  </w:footnote>
  <w:footnote w:type="continuationSeparator" w:id="0">
    <w:p w14:paraId="6A1CBF08" w14:textId="77777777" w:rsidR="00FA5DD3" w:rsidRDefault="00FA5DD3" w:rsidP="00553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02"/>
    <w:rsid w:val="000039BD"/>
    <w:rsid w:val="00007F46"/>
    <w:rsid w:val="00013328"/>
    <w:rsid w:val="00013DB7"/>
    <w:rsid w:val="000502D7"/>
    <w:rsid w:val="00096C0F"/>
    <w:rsid w:val="000B25DA"/>
    <w:rsid w:val="001211A2"/>
    <w:rsid w:val="00123E2F"/>
    <w:rsid w:val="00140EB9"/>
    <w:rsid w:val="001449D6"/>
    <w:rsid w:val="00146BD8"/>
    <w:rsid w:val="00153F00"/>
    <w:rsid w:val="00165CE8"/>
    <w:rsid w:val="001873DE"/>
    <w:rsid w:val="001917B5"/>
    <w:rsid w:val="001A6356"/>
    <w:rsid w:val="001B0B79"/>
    <w:rsid w:val="001F27DD"/>
    <w:rsid w:val="00207E97"/>
    <w:rsid w:val="002669C6"/>
    <w:rsid w:val="003331E8"/>
    <w:rsid w:val="00344FF9"/>
    <w:rsid w:val="003545C2"/>
    <w:rsid w:val="003948FF"/>
    <w:rsid w:val="00397564"/>
    <w:rsid w:val="003C5B60"/>
    <w:rsid w:val="00407A33"/>
    <w:rsid w:val="004518C8"/>
    <w:rsid w:val="0047017E"/>
    <w:rsid w:val="00492D0E"/>
    <w:rsid w:val="00496227"/>
    <w:rsid w:val="004A0115"/>
    <w:rsid w:val="004A259C"/>
    <w:rsid w:val="004A7BE9"/>
    <w:rsid w:val="004C3670"/>
    <w:rsid w:val="004D5593"/>
    <w:rsid w:val="004E2A01"/>
    <w:rsid w:val="00500BDA"/>
    <w:rsid w:val="00506E8C"/>
    <w:rsid w:val="00535187"/>
    <w:rsid w:val="00553FA1"/>
    <w:rsid w:val="00564D2C"/>
    <w:rsid w:val="00581327"/>
    <w:rsid w:val="00591DAC"/>
    <w:rsid w:val="005E0F0A"/>
    <w:rsid w:val="005F2D83"/>
    <w:rsid w:val="00601989"/>
    <w:rsid w:val="00604EA8"/>
    <w:rsid w:val="00613A28"/>
    <w:rsid w:val="00620F7D"/>
    <w:rsid w:val="00631C3F"/>
    <w:rsid w:val="006363E8"/>
    <w:rsid w:val="00647317"/>
    <w:rsid w:val="006A1BD7"/>
    <w:rsid w:val="006D2DA3"/>
    <w:rsid w:val="0070691D"/>
    <w:rsid w:val="007131C2"/>
    <w:rsid w:val="00717AD3"/>
    <w:rsid w:val="007226ED"/>
    <w:rsid w:val="00726497"/>
    <w:rsid w:val="00737E3B"/>
    <w:rsid w:val="0075071E"/>
    <w:rsid w:val="007D6267"/>
    <w:rsid w:val="007D7FD5"/>
    <w:rsid w:val="007E2552"/>
    <w:rsid w:val="007F1E33"/>
    <w:rsid w:val="0081006F"/>
    <w:rsid w:val="00832AB8"/>
    <w:rsid w:val="008347DF"/>
    <w:rsid w:val="008A1E0C"/>
    <w:rsid w:val="008B55E0"/>
    <w:rsid w:val="008D778C"/>
    <w:rsid w:val="00926A0B"/>
    <w:rsid w:val="00933EA4"/>
    <w:rsid w:val="00934C47"/>
    <w:rsid w:val="00963A1A"/>
    <w:rsid w:val="009C7803"/>
    <w:rsid w:val="009E55A4"/>
    <w:rsid w:val="009F4AD8"/>
    <w:rsid w:val="00A008E4"/>
    <w:rsid w:val="00A01618"/>
    <w:rsid w:val="00A1620B"/>
    <w:rsid w:val="00A4049E"/>
    <w:rsid w:val="00A418F4"/>
    <w:rsid w:val="00A47E01"/>
    <w:rsid w:val="00A5024D"/>
    <w:rsid w:val="00A747CB"/>
    <w:rsid w:val="00A904FA"/>
    <w:rsid w:val="00AB5CB9"/>
    <w:rsid w:val="00AB6BDC"/>
    <w:rsid w:val="00AF70CE"/>
    <w:rsid w:val="00B11C26"/>
    <w:rsid w:val="00B262CD"/>
    <w:rsid w:val="00B30C67"/>
    <w:rsid w:val="00B43D61"/>
    <w:rsid w:val="00B649C7"/>
    <w:rsid w:val="00B650C8"/>
    <w:rsid w:val="00B851D4"/>
    <w:rsid w:val="00BB034D"/>
    <w:rsid w:val="00BE1749"/>
    <w:rsid w:val="00BE748A"/>
    <w:rsid w:val="00C03607"/>
    <w:rsid w:val="00C5605A"/>
    <w:rsid w:val="00C6435D"/>
    <w:rsid w:val="00C817C6"/>
    <w:rsid w:val="00C90405"/>
    <w:rsid w:val="00C9593E"/>
    <w:rsid w:val="00CA1974"/>
    <w:rsid w:val="00CF423A"/>
    <w:rsid w:val="00D513D0"/>
    <w:rsid w:val="00D52B0C"/>
    <w:rsid w:val="00D5589E"/>
    <w:rsid w:val="00D8552A"/>
    <w:rsid w:val="00D863A0"/>
    <w:rsid w:val="00D936A0"/>
    <w:rsid w:val="00DA55B3"/>
    <w:rsid w:val="00DA73E1"/>
    <w:rsid w:val="00DB1778"/>
    <w:rsid w:val="00DB5A39"/>
    <w:rsid w:val="00DE1421"/>
    <w:rsid w:val="00DE441B"/>
    <w:rsid w:val="00DF00D9"/>
    <w:rsid w:val="00E20A43"/>
    <w:rsid w:val="00E339BF"/>
    <w:rsid w:val="00E45A64"/>
    <w:rsid w:val="00E61FB7"/>
    <w:rsid w:val="00E6209A"/>
    <w:rsid w:val="00E71002"/>
    <w:rsid w:val="00EA0998"/>
    <w:rsid w:val="00EB46E4"/>
    <w:rsid w:val="00F111DB"/>
    <w:rsid w:val="00F6644A"/>
    <w:rsid w:val="00FA124C"/>
    <w:rsid w:val="00FA5DD3"/>
    <w:rsid w:val="00FC0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931B2"/>
  <w14:defaultImageDpi w14:val="32767"/>
  <w15:chartTrackingRefBased/>
  <w15:docId w15:val="{C41F634C-7F60-5C4B-B8EE-29719E40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11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00D9"/>
    <w:rPr>
      <w:sz w:val="16"/>
      <w:szCs w:val="16"/>
    </w:rPr>
  </w:style>
  <w:style w:type="paragraph" w:styleId="CommentText">
    <w:name w:val="annotation text"/>
    <w:basedOn w:val="Normal"/>
    <w:link w:val="CommentTextChar"/>
    <w:uiPriority w:val="99"/>
    <w:semiHidden/>
    <w:unhideWhenUsed/>
    <w:rsid w:val="00DF00D9"/>
    <w:rPr>
      <w:sz w:val="20"/>
      <w:szCs w:val="20"/>
    </w:rPr>
  </w:style>
  <w:style w:type="character" w:customStyle="1" w:styleId="CommentTextChar">
    <w:name w:val="Comment Text Char"/>
    <w:basedOn w:val="DefaultParagraphFont"/>
    <w:link w:val="CommentText"/>
    <w:uiPriority w:val="99"/>
    <w:semiHidden/>
    <w:rsid w:val="00DF00D9"/>
    <w:rPr>
      <w:sz w:val="20"/>
      <w:szCs w:val="20"/>
    </w:rPr>
  </w:style>
  <w:style w:type="paragraph" w:styleId="CommentSubject">
    <w:name w:val="annotation subject"/>
    <w:basedOn w:val="CommentText"/>
    <w:next w:val="CommentText"/>
    <w:link w:val="CommentSubjectChar"/>
    <w:uiPriority w:val="99"/>
    <w:semiHidden/>
    <w:unhideWhenUsed/>
    <w:rsid w:val="00DF00D9"/>
    <w:rPr>
      <w:b/>
      <w:bCs/>
    </w:rPr>
  </w:style>
  <w:style w:type="character" w:customStyle="1" w:styleId="CommentSubjectChar">
    <w:name w:val="Comment Subject Char"/>
    <w:basedOn w:val="CommentTextChar"/>
    <w:link w:val="CommentSubject"/>
    <w:uiPriority w:val="99"/>
    <w:semiHidden/>
    <w:rsid w:val="00DF00D9"/>
    <w:rPr>
      <w:b/>
      <w:bCs/>
      <w:sz w:val="20"/>
      <w:szCs w:val="20"/>
    </w:rPr>
  </w:style>
  <w:style w:type="paragraph" w:styleId="BalloonText">
    <w:name w:val="Balloon Text"/>
    <w:basedOn w:val="Normal"/>
    <w:link w:val="BalloonTextChar"/>
    <w:uiPriority w:val="99"/>
    <w:semiHidden/>
    <w:unhideWhenUsed/>
    <w:rsid w:val="00DF00D9"/>
    <w:rPr>
      <w:sz w:val="18"/>
      <w:szCs w:val="18"/>
    </w:rPr>
  </w:style>
  <w:style w:type="character" w:customStyle="1" w:styleId="BalloonTextChar">
    <w:name w:val="Balloon Text Char"/>
    <w:basedOn w:val="DefaultParagraphFont"/>
    <w:link w:val="BalloonText"/>
    <w:uiPriority w:val="99"/>
    <w:semiHidden/>
    <w:rsid w:val="00DF00D9"/>
    <w:rPr>
      <w:rFonts w:ascii="Times New Roman" w:hAnsi="Times New Roman" w:cs="Times New Roman"/>
      <w:sz w:val="18"/>
      <w:szCs w:val="18"/>
    </w:rPr>
  </w:style>
  <w:style w:type="paragraph" w:customStyle="1" w:styleId="paragraph">
    <w:name w:val="paragraph"/>
    <w:basedOn w:val="Normal"/>
    <w:rsid w:val="001F27DD"/>
    <w:pPr>
      <w:spacing w:before="100" w:beforeAutospacing="1" w:after="100" w:afterAutospacing="1"/>
    </w:pPr>
  </w:style>
  <w:style w:type="character" w:customStyle="1" w:styleId="normaltextrun">
    <w:name w:val="normaltextrun"/>
    <w:basedOn w:val="DefaultParagraphFont"/>
    <w:rsid w:val="001F27DD"/>
  </w:style>
  <w:style w:type="character" w:customStyle="1" w:styleId="eop">
    <w:name w:val="eop"/>
    <w:basedOn w:val="DefaultParagraphFont"/>
    <w:rsid w:val="001F27DD"/>
  </w:style>
  <w:style w:type="paragraph" w:styleId="Date">
    <w:name w:val="Date"/>
    <w:basedOn w:val="Normal"/>
    <w:next w:val="Normal"/>
    <w:link w:val="DateChar"/>
    <w:uiPriority w:val="99"/>
    <w:semiHidden/>
    <w:unhideWhenUsed/>
    <w:rsid w:val="00140EB9"/>
  </w:style>
  <w:style w:type="character" w:customStyle="1" w:styleId="DateChar">
    <w:name w:val="Date Char"/>
    <w:basedOn w:val="DefaultParagraphFont"/>
    <w:link w:val="Date"/>
    <w:uiPriority w:val="99"/>
    <w:semiHidden/>
    <w:rsid w:val="00140EB9"/>
    <w:rPr>
      <w:rFonts w:ascii="Times New Roman" w:eastAsia="Times New Roman" w:hAnsi="Times New Roman" w:cs="Times New Roman"/>
    </w:rPr>
  </w:style>
  <w:style w:type="paragraph" w:styleId="Footer">
    <w:name w:val="footer"/>
    <w:basedOn w:val="Normal"/>
    <w:link w:val="FooterChar"/>
    <w:uiPriority w:val="99"/>
    <w:unhideWhenUsed/>
    <w:rsid w:val="00553FA1"/>
    <w:pPr>
      <w:tabs>
        <w:tab w:val="center" w:pos="4680"/>
        <w:tab w:val="right" w:pos="9360"/>
      </w:tabs>
    </w:pPr>
  </w:style>
  <w:style w:type="character" w:customStyle="1" w:styleId="FooterChar">
    <w:name w:val="Footer Char"/>
    <w:basedOn w:val="DefaultParagraphFont"/>
    <w:link w:val="Footer"/>
    <w:uiPriority w:val="99"/>
    <w:rsid w:val="00553FA1"/>
    <w:rPr>
      <w:rFonts w:ascii="Times New Roman" w:eastAsia="Times New Roman" w:hAnsi="Times New Roman" w:cs="Times New Roman"/>
    </w:rPr>
  </w:style>
  <w:style w:type="character" w:styleId="PageNumber">
    <w:name w:val="page number"/>
    <w:basedOn w:val="DefaultParagraphFont"/>
    <w:uiPriority w:val="99"/>
    <w:semiHidden/>
    <w:unhideWhenUsed/>
    <w:rsid w:val="00553FA1"/>
  </w:style>
  <w:style w:type="character" w:styleId="Hyperlink">
    <w:name w:val="Hyperlink"/>
    <w:basedOn w:val="DefaultParagraphFont"/>
    <w:uiPriority w:val="99"/>
    <w:unhideWhenUsed/>
    <w:rsid w:val="00096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4098">
      <w:bodyDiv w:val="1"/>
      <w:marLeft w:val="0"/>
      <w:marRight w:val="0"/>
      <w:marTop w:val="0"/>
      <w:marBottom w:val="0"/>
      <w:divBdr>
        <w:top w:val="none" w:sz="0" w:space="0" w:color="auto"/>
        <w:left w:val="none" w:sz="0" w:space="0" w:color="auto"/>
        <w:bottom w:val="none" w:sz="0" w:space="0" w:color="auto"/>
        <w:right w:val="none" w:sz="0" w:space="0" w:color="auto"/>
      </w:divBdr>
    </w:div>
    <w:div w:id="28456447">
      <w:bodyDiv w:val="1"/>
      <w:marLeft w:val="0"/>
      <w:marRight w:val="0"/>
      <w:marTop w:val="0"/>
      <w:marBottom w:val="0"/>
      <w:divBdr>
        <w:top w:val="none" w:sz="0" w:space="0" w:color="auto"/>
        <w:left w:val="none" w:sz="0" w:space="0" w:color="auto"/>
        <w:bottom w:val="none" w:sz="0" w:space="0" w:color="auto"/>
        <w:right w:val="none" w:sz="0" w:space="0" w:color="auto"/>
      </w:divBdr>
    </w:div>
    <w:div w:id="207760068">
      <w:bodyDiv w:val="1"/>
      <w:marLeft w:val="0"/>
      <w:marRight w:val="0"/>
      <w:marTop w:val="0"/>
      <w:marBottom w:val="0"/>
      <w:divBdr>
        <w:top w:val="none" w:sz="0" w:space="0" w:color="auto"/>
        <w:left w:val="none" w:sz="0" w:space="0" w:color="auto"/>
        <w:bottom w:val="none" w:sz="0" w:space="0" w:color="auto"/>
        <w:right w:val="none" w:sz="0" w:space="0" w:color="auto"/>
      </w:divBdr>
    </w:div>
    <w:div w:id="254749554">
      <w:bodyDiv w:val="1"/>
      <w:marLeft w:val="0"/>
      <w:marRight w:val="0"/>
      <w:marTop w:val="0"/>
      <w:marBottom w:val="0"/>
      <w:divBdr>
        <w:top w:val="none" w:sz="0" w:space="0" w:color="auto"/>
        <w:left w:val="none" w:sz="0" w:space="0" w:color="auto"/>
        <w:bottom w:val="none" w:sz="0" w:space="0" w:color="auto"/>
        <w:right w:val="none" w:sz="0" w:space="0" w:color="auto"/>
      </w:divBdr>
    </w:div>
    <w:div w:id="269053363">
      <w:bodyDiv w:val="1"/>
      <w:marLeft w:val="0"/>
      <w:marRight w:val="0"/>
      <w:marTop w:val="0"/>
      <w:marBottom w:val="0"/>
      <w:divBdr>
        <w:top w:val="none" w:sz="0" w:space="0" w:color="auto"/>
        <w:left w:val="none" w:sz="0" w:space="0" w:color="auto"/>
        <w:bottom w:val="none" w:sz="0" w:space="0" w:color="auto"/>
        <w:right w:val="none" w:sz="0" w:space="0" w:color="auto"/>
      </w:divBdr>
    </w:div>
    <w:div w:id="318313359">
      <w:bodyDiv w:val="1"/>
      <w:marLeft w:val="0"/>
      <w:marRight w:val="0"/>
      <w:marTop w:val="0"/>
      <w:marBottom w:val="0"/>
      <w:divBdr>
        <w:top w:val="none" w:sz="0" w:space="0" w:color="auto"/>
        <w:left w:val="none" w:sz="0" w:space="0" w:color="auto"/>
        <w:bottom w:val="none" w:sz="0" w:space="0" w:color="auto"/>
        <w:right w:val="none" w:sz="0" w:space="0" w:color="auto"/>
      </w:divBdr>
    </w:div>
    <w:div w:id="1167743925">
      <w:bodyDiv w:val="1"/>
      <w:marLeft w:val="0"/>
      <w:marRight w:val="0"/>
      <w:marTop w:val="0"/>
      <w:marBottom w:val="0"/>
      <w:divBdr>
        <w:top w:val="none" w:sz="0" w:space="0" w:color="auto"/>
        <w:left w:val="none" w:sz="0" w:space="0" w:color="auto"/>
        <w:bottom w:val="none" w:sz="0" w:space="0" w:color="auto"/>
        <w:right w:val="none" w:sz="0" w:space="0" w:color="auto"/>
      </w:divBdr>
    </w:div>
    <w:div w:id="1193693588">
      <w:bodyDiv w:val="1"/>
      <w:marLeft w:val="0"/>
      <w:marRight w:val="0"/>
      <w:marTop w:val="0"/>
      <w:marBottom w:val="0"/>
      <w:divBdr>
        <w:top w:val="none" w:sz="0" w:space="0" w:color="auto"/>
        <w:left w:val="none" w:sz="0" w:space="0" w:color="auto"/>
        <w:bottom w:val="none" w:sz="0" w:space="0" w:color="auto"/>
        <w:right w:val="none" w:sz="0" w:space="0" w:color="auto"/>
      </w:divBdr>
    </w:div>
    <w:div w:id="1289362699">
      <w:bodyDiv w:val="1"/>
      <w:marLeft w:val="0"/>
      <w:marRight w:val="0"/>
      <w:marTop w:val="0"/>
      <w:marBottom w:val="0"/>
      <w:divBdr>
        <w:top w:val="none" w:sz="0" w:space="0" w:color="auto"/>
        <w:left w:val="none" w:sz="0" w:space="0" w:color="auto"/>
        <w:bottom w:val="none" w:sz="0" w:space="0" w:color="auto"/>
        <w:right w:val="none" w:sz="0" w:space="0" w:color="auto"/>
      </w:divBdr>
    </w:div>
    <w:div w:id="1357928765">
      <w:bodyDiv w:val="1"/>
      <w:marLeft w:val="0"/>
      <w:marRight w:val="0"/>
      <w:marTop w:val="0"/>
      <w:marBottom w:val="0"/>
      <w:divBdr>
        <w:top w:val="none" w:sz="0" w:space="0" w:color="auto"/>
        <w:left w:val="none" w:sz="0" w:space="0" w:color="auto"/>
        <w:bottom w:val="none" w:sz="0" w:space="0" w:color="auto"/>
        <w:right w:val="none" w:sz="0" w:space="0" w:color="auto"/>
      </w:divBdr>
    </w:div>
    <w:div w:id="1460685844">
      <w:bodyDiv w:val="1"/>
      <w:marLeft w:val="0"/>
      <w:marRight w:val="0"/>
      <w:marTop w:val="0"/>
      <w:marBottom w:val="0"/>
      <w:divBdr>
        <w:top w:val="none" w:sz="0" w:space="0" w:color="auto"/>
        <w:left w:val="none" w:sz="0" w:space="0" w:color="auto"/>
        <w:bottom w:val="none" w:sz="0" w:space="0" w:color="auto"/>
        <w:right w:val="none" w:sz="0" w:space="0" w:color="auto"/>
      </w:divBdr>
    </w:div>
    <w:div w:id="1539927704">
      <w:bodyDiv w:val="1"/>
      <w:marLeft w:val="0"/>
      <w:marRight w:val="0"/>
      <w:marTop w:val="0"/>
      <w:marBottom w:val="0"/>
      <w:divBdr>
        <w:top w:val="none" w:sz="0" w:space="0" w:color="auto"/>
        <w:left w:val="none" w:sz="0" w:space="0" w:color="auto"/>
        <w:bottom w:val="none" w:sz="0" w:space="0" w:color="auto"/>
        <w:right w:val="none" w:sz="0" w:space="0" w:color="auto"/>
      </w:divBdr>
    </w:div>
    <w:div w:id="1592735356">
      <w:bodyDiv w:val="1"/>
      <w:marLeft w:val="0"/>
      <w:marRight w:val="0"/>
      <w:marTop w:val="0"/>
      <w:marBottom w:val="0"/>
      <w:divBdr>
        <w:top w:val="none" w:sz="0" w:space="0" w:color="auto"/>
        <w:left w:val="none" w:sz="0" w:space="0" w:color="auto"/>
        <w:bottom w:val="none" w:sz="0" w:space="0" w:color="auto"/>
        <w:right w:val="none" w:sz="0" w:space="0" w:color="auto"/>
      </w:divBdr>
    </w:div>
    <w:div w:id="18733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oleObject" Target="file:////Users/zwc/Desktop/summer%20research/paper/mona_analysis/Datas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zwc/Desktop/summer%20research/paper/mona_analysis/Datas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zwc/Desktop/summer%20research/paper/mona_analysis/Datase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zwc/Desktop/summer%20research/paper/mona_analysis/Datase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zwc/Desktop/summer%20research/paper/mona_analysis/Dataset.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onahua/Desktop/20Summer/Mayo%20Fellowship/Dataset.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onahua/Desktop/20Summer/Mayo%20Fellowship/Dataset.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China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Sheet1!$A$2:$A$97</c:f>
              <c:numCache>
                <c:formatCode>mmm\-yy</c:formatCode>
                <c:ptCount val="96"/>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numCache>
            </c:numRef>
          </c:cat>
          <c:val>
            <c:numRef>
              <c:f>Sheet1!$B$2:$B$97</c:f>
              <c:numCache>
                <c:formatCode>General</c:formatCode>
                <c:ptCount val="96"/>
                <c:pt idx="0">
                  <c:v>-5.15</c:v>
                </c:pt>
                <c:pt idx="1">
                  <c:v>9.31</c:v>
                </c:pt>
                <c:pt idx="2">
                  <c:v>-11.18</c:v>
                </c:pt>
                <c:pt idx="3">
                  <c:v>-3.26</c:v>
                </c:pt>
                <c:pt idx="4">
                  <c:v>-4.92</c:v>
                </c:pt>
                <c:pt idx="5">
                  <c:v>2.67</c:v>
                </c:pt>
                <c:pt idx="6">
                  <c:v>-3.51</c:v>
                </c:pt>
                <c:pt idx="7">
                  <c:v>10.3</c:v>
                </c:pt>
                <c:pt idx="8">
                  <c:v>0.9</c:v>
                </c:pt>
                <c:pt idx="9">
                  <c:v>-5.83</c:v>
                </c:pt>
                <c:pt idx="10">
                  <c:v>0.01</c:v>
                </c:pt>
                <c:pt idx="11">
                  <c:v>4.43</c:v>
                </c:pt>
                <c:pt idx="12">
                  <c:v>10.72</c:v>
                </c:pt>
                <c:pt idx="13">
                  <c:v>2.9</c:v>
                </c:pt>
                <c:pt idx="14">
                  <c:v>0.53</c:v>
                </c:pt>
                <c:pt idx="15">
                  <c:v>9.1300000000000008</c:v>
                </c:pt>
                <c:pt idx="16">
                  <c:v>20.75</c:v>
                </c:pt>
                <c:pt idx="17">
                  <c:v>4.62</c:v>
                </c:pt>
                <c:pt idx="18">
                  <c:v>-5.86</c:v>
                </c:pt>
                <c:pt idx="19">
                  <c:v>2.59</c:v>
                </c:pt>
                <c:pt idx="20">
                  <c:v>4.8</c:v>
                </c:pt>
                <c:pt idx="21">
                  <c:v>4.2699999999999996</c:v>
                </c:pt>
                <c:pt idx="22">
                  <c:v>12.63</c:v>
                </c:pt>
                <c:pt idx="23">
                  <c:v>13.49</c:v>
                </c:pt>
                <c:pt idx="24">
                  <c:v>22.59</c:v>
                </c:pt>
                <c:pt idx="25">
                  <c:v>12.03</c:v>
                </c:pt>
                <c:pt idx="26">
                  <c:v>11.6</c:v>
                </c:pt>
                <c:pt idx="27">
                  <c:v>28.01</c:v>
                </c:pt>
                <c:pt idx="28">
                  <c:v>9.6300000000000008</c:v>
                </c:pt>
                <c:pt idx="29">
                  <c:v>-10.14</c:v>
                </c:pt>
                <c:pt idx="30">
                  <c:v>19.260000000000002</c:v>
                </c:pt>
                <c:pt idx="31">
                  <c:v>14.96</c:v>
                </c:pt>
                <c:pt idx="32">
                  <c:v>5.33</c:v>
                </c:pt>
                <c:pt idx="33">
                  <c:v>-3.02</c:v>
                </c:pt>
                <c:pt idx="34">
                  <c:v>-11.48</c:v>
                </c:pt>
                <c:pt idx="35">
                  <c:v>17.75</c:v>
                </c:pt>
                <c:pt idx="36">
                  <c:v>-9.2100000000000009</c:v>
                </c:pt>
                <c:pt idx="37">
                  <c:v>3.55</c:v>
                </c:pt>
                <c:pt idx="38">
                  <c:v>-18.98</c:v>
                </c:pt>
                <c:pt idx="39">
                  <c:v>1.4</c:v>
                </c:pt>
                <c:pt idx="40">
                  <c:v>-6.05</c:v>
                </c:pt>
                <c:pt idx="41">
                  <c:v>-22.33</c:v>
                </c:pt>
                <c:pt idx="42">
                  <c:v>3.06</c:v>
                </c:pt>
                <c:pt idx="43">
                  <c:v>-19.510000000000002</c:v>
                </c:pt>
                <c:pt idx="44">
                  <c:v>-2.88</c:v>
                </c:pt>
                <c:pt idx="45">
                  <c:v>-26.83</c:v>
                </c:pt>
                <c:pt idx="46">
                  <c:v>12.42</c:v>
                </c:pt>
                <c:pt idx="47">
                  <c:v>1.68</c:v>
                </c:pt>
                <c:pt idx="48">
                  <c:v>17.190000000000001</c:v>
                </c:pt>
                <c:pt idx="49">
                  <c:v>5.41</c:v>
                </c:pt>
                <c:pt idx="50">
                  <c:v>21.56</c:v>
                </c:pt>
                <c:pt idx="51">
                  <c:v>5.36</c:v>
                </c:pt>
                <c:pt idx="52">
                  <c:v>5.33</c:v>
                </c:pt>
                <c:pt idx="53">
                  <c:v>11.82</c:v>
                </c:pt>
                <c:pt idx="54">
                  <c:v>16.39</c:v>
                </c:pt>
                <c:pt idx="55">
                  <c:v>-19.48</c:v>
                </c:pt>
                <c:pt idx="56">
                  <c:v>4.8</c:v>
                </c:pt>
                <c:pt idx="57">
                  <c:v>8.51</c:v>
                </c:pt>
                <c:pt idx="58">
                  <c:v>10.97</c:v>
                </c:pt>
                <c:pt idx="59">
                  <c:v>1.97</c:v>
                </c:pt>
                <c:pt idx="60">
                  <c:v>-6.25</c:v>
                </c:pt>
                <c:pt idx="61">
                  <c:v>3.7</c:v>
                </c:pt>
                <c:pt idx="62">
                  <c:v>1.37</c:v>
                </c:pt>
                <c:pt idx="63">
                  <c:v>-7.13</c:v>
                </c:pt>
                <c:pt idx="64">
                  <c:v>-10.220000000000001</c:v>
                </c:pt>
                <c:pt idx="65">
                  <c:v>-7.77</c:v>
                </c:pt>
                <c:pt idx="66">
                  <c:v>14.09</c:v>
                </c:pt>
                <c:pt idx="67">
                  <c:v>3.87</c:v>
                </c:pt>
                <c:pt idx="68">
                  <c:v>0.85</c:v>
                </c:pt>
                <c:pt idx="69">
                  <c:v>13.98</c:v>
                </c:pt>
                <c:pt idx="70">
                  <c:v>-5.01</c:v>
                </c:pt>
                <c:pt idx="71">
                  <c:v>-1.48</c:v>
                </c:pt>
                <c:pt idx="72">
                  <c:v>-0.56999999999999995</c:v>
                </c:pt>
                <c:pt idx="73">
                  <c:v>6.98</c:v>
                </c:pt>
                <c:pt idx="74">
                  <c:v>0.13</c:v>
                </c:pt>
                <c:pt idx="75">
                  <c:v>-1.35</c:v>
                </c:pt>
                <c:pt idx="76">
                  <c:v>-6.4</c:v>
                </c:pt>
                <c:pt idx="77">
                  <c:v>2.04</c:v>
                </c:pt>
                <c:pt idx="78">
                  <c:v>-0.53</c:v>
                </c:pt>
                <c:pt idx="79">
                  <c:v>-4.32</c:v>
                </c:pt>
                <c:pt idx="80">
                  <c:v>-9.76</c:v>
                </c:pt>
                <c:pt idx="81">
                  <c:v>3.9</c:v>
                </c:pt>
                <c:pt idx="82">
                  <c:v>-6.17</c:v>
                </c:pt>
                <c:pt idx="83">
                  <c:v>-10.28</c:v>
                </c:pt>
                <c:pt idx="84">
                  <c:v>3.95</c:v>
                </c:pt>
                <c:pt idx="85">
                  <c:v>9.3699999999999992</c:v>
                </c:pt>
                <c:pt idx="86">
                  <c:v>-7.08</c:v>
                </c:pt>
                <c:pt idx="87">
                  <c:v>8.44</c:v>
                </c:pt>
                <c:pt idx="88">
                  <c:v>1.2</c:v>
                </c:pt>
                <c:pt idx="89">
                  <c:v>-6.95</c:v>
                </c:pt>
                <c:pt idx="90">
                  <c:v>-6.87</c:v>
                </c:pt>
                <c:pt idx="91">
                  <c:v>-2.6</c:v>
                </c:pt>
                <c:pt idx="92">
                  <c:v>3.24</c:v>
                </c:pt>
                <c:pt idx="93">
                  <c:v>-1.62</c:v>
                </c:pt>
                <c:pt idx="94">
                  <c:v>-7.24</c:v>
                </c:pt>
                <c:pt idx="95">
                  <c:v>17.98</c:v>
                </c:pt>
              </c:numCache>
            </c:numRef>
          </c:val>
          <c:smooth val="0"/>
          <c:extLst>
            <c:ext xmlns:c16="http://schemas.microsoft.com/office/drawing/2014/chart" uri="{C3380CC4-5D6E-409C-BE32-E72D297353CC}">
              <c16:uniqueId val="{00000000-BD5F-BB43-A4EA-B799E7D13CCF}"/>
            </c:ext>
          </c:extLst>
        </c:ser>
        <c:dLbls>
          <c:showLegendKey val="0"/>
          <c:showVal val="0"/>
          <c:showCatName val="0"/>
          <c:showSerName val="0"/>
          <c:showPercent val="0"/>
          <c:showBubbleSize val="0"/>
        </c:dLbls>
        <c:smooth val="0"/>
        <c:axId val="2032999808"/>
        <c:axId val="1699943712"/>
      </c:lineChart>
      <c:dateAx>
        <c:axId val="20329998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9943712"/>
        <c:crosses val="autoZero"/>
        <c:auto val="1"/>
        <c:lblOffset val="100"/>
        <c:baseTimeUnit val="months"/>
      </c:dateAx>
      <c:valAx>
        <c:axId val="16999437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9998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India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Sheet1!$A$98:$A$193</c:f>
              <c:numCache>
                <c:formatCode>mmm\-yy</c:formatCode>
                <c:ptCount val="96"/>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numCache>
            </c:numRef>
          </c:cat>
          <c:val>
            <c:numRef>
              <c:f>Sheet1!$B$98:$B$193</c:f>
              <c:numCache>
                <c:formatCode>General</c:formatCode>
                <c:ptCount val="96"/>
                <c:pt idx="0">
                  <c:v>-1.77</c:v>
                </c:pt>
                <c:pt idx="1">
                  <c:v>3.12</c:v>
                </c:pt>
                <c:pt idx="2">
                  <c:v>-3.61</c:v>
                </c:pt>
                <c:pt idx="3">
                  <c:v>-3.57</c:v>
                </c:pt>
                <c:pt idx="4">
                  <c:v>8.59</c:v>
                </c:pt>
                <c:pt idx="5">
                  <c:v>4.82</c:v>
                </c:pt>
                <c:pt idx="6">
                  <c:v>6.87</c:v>
                </c:pt>
                <c:pt idx="7">
                  <c:v>5.67</c:v>
                </c:pt>
                <c:pt idx="8">
                  <c:v>7.4</c:v>
                </c:pt>
                <c:pt idx="9">
                  <c:v>-9.2200000000000006</c:v>
                </c:pt>
                <c:pt idx="10">
                  <c:v>11.43</c:v>
                </c:pt>
                <c:pt idx="11">
                  <c:v>6.9</c:v>
                </c:pt>
                <c:pt idx="12">
                  <c:v>5.0999999999999996</c:v>
                </c:pt>
                <c:pt idx="13">
                  <c:v>3.08</c:v>
                </c:pt>
                <c:pt idx="14">
                  <c:v>9.7799999999999994</c:v>
                </c:pt>
                <c:pt idx="15">
                  <c:v>4.43</c:v>
                </c:pt>
                <c:pt idx="16">
                  <c:v>-12.03</c:v>
                </c:pt>
                <c:pt idx="17">
                  <c:v>-3.23</c:v>
                </c:pt>
                <c:pt idx="18">
                  <c:v>0.12</c:v>
                </c:pt>
                <c:pt idx="19">
                  <c:v>10</c:v>
                </c:pt>
                <c:pt idx="20">
                  <c:v>6.23</c:v>
                </c:pt>
                <c:pt idx="21">
                  <c:v>4.4800000000000004</c:v>
                </c:pt>
                <c:pt idx="22">
                  <c:v>4.6399999999999997</c:v>
                </c:pt>
                <c:pt idx="23">
                  <c:v>0.5</c:v>
                </c:pt>
                <c:pt idx="24">
                  <c:v>3.71</c:v>
                </c:pt>
                <c:pt idx="25">
                  <c:v>-8.1300000000000008</c:v>
                </c:pt>
                <c:pt idx="26">
                  <c:v>0.48</c:v>
                </c:pt>
                <c:pt idx="27">
                  <c:v>7.17</c:v>
                </c:pt>
                <c:pt idx="28">
                  <c:v>5.01</c:v>
                </c:pt>
                <c:pt idx="29">
                  <c:v>1.88</c:v>
                </c:pt>
                <c:pt idx="30">
                  <c:v>5.07</c:v>
                </c:pt>
                <c:pt idx="31">
                  <c:v>-1.32</c:v>
                </c:pt>
                <c:pt idx="32">
                  <c:v>12.58</c:v>
                </c:pt>
                <c:pt idx="33">
                  <c:v>14.71</c:v>
                </c:pt>
                <c:pt idx="34">
                  <c:v>0.84</c:v>
                </c:pt>
                <c:pt idx="35">
                  <c:v>11.21</c:v>
                </c:pt>
                <c:pt idx="36">
                  <c:v>-18.149999999999999</c:v>
                </c:pt>
                <c:pt idx="37">
                  <c:v>0.79</c:v>
                </c:pt>
                <c:pt idx="38">
                  <c:v>-10.96</c:v>
                </c:pt>
                <c:pt idx="39">
                  <c:v>11.28</c:v>
                </c:pt>
                <c:pt idx="40">
                  <c:v>-5.24</c:v>
                </c:pt>
                <c:pt idx="41">
                  <c:v>-17.399999999999999</c:v>
                </c:pt>
                <c:pt idx="42">
                  <c:v>9.35</c:v>
                </c:pt>
                <c:pt idx="43">
                  <c:v>1.1499999999999999</c:v>
                </c:pt>
                <c:pt idx="44">
                  <c:v>-13.2</c:v>
                </c:pt>
                <c:pt idx="45">
                  <c:v>-29.32</c:v>
                </c:pt>
                <c:pt idx="46">
                  <c:v>-8.09</c:v>
                </c:pt>
                <c:pt idx="47">
                  <c:v>15.89</c:v>
                </c:pt>
                <c:pt idx="48">
                  <c:v>-6</c:v>
                </c:pt>
                <c:pt idx="49">
                  <c:v>-5.77</c:v>
                </c:pt>
                <c:pt idx="50">
                  <c:v>9.36</c:v>
                </c:pt>
                <c:pt idx="51">
                  <c:v>20.25</c:v>
                </c:pt>
                <c:pt idx="52">
                  <c:v>42.55</c:v>
                </c:pt>
                <c:pt idx="53">
                  <c:v>-2.2200000000000002</c:v>
                </c:pt>
                <c:pt idx="54">
                  <c:v>8.9499999999999993</c:v>
                </c:pt>
                <c:pt idx="55">
                  <c:v>2.52</c:v>
                </c:pt>
                <c:pt idx="56">
                  <c:v>7.46</c:v>
                </c:pt>
                <c:pt idx="57">
                  <c:v>-6.47</c:v>
                </c:pt>
                <c:pt idx="58">
                  <c:v>7.26</c:v>
                </c:pt>
                <c:pt idx="59">
                  <c:v>4.97</c:v>
                </c:pt>
                <c:pt idx="60">
                  <c:v>-3.25</c:v>
                </c:pt>
                <c:pt idx="61">
                  <c:v>-1.1599999999999999</c:v>
                </c:pt>
                <c:pt idx="62">
                  <c:v>4.63</c:v>
                </c:pt>
                <c:pt idx="63">
                  <c:v>1.29</c:v>
                </c:pt>
                <c:pt idx="64">
                  <c:v>-2.93</c:v>
                </c:pt>
                <c:pt idx="65">
                  <c:v>5.09</c:v>
                </c:pt>
                <c:pt idx="66">
                  <c:v>2.2000000000000002</c:v>
                </c:pt>
                <c:pt idx="67">
                  <c:v>0.5</c:v>
                </c:pt>
                <c:pt idx="68">
                  <c:v>8.4700000000000006</c:v>
                </c:pt>
                <c:pt idx="69">
                  <c:v>0.2</c:v>
                </c:pt>
                <c:pt idx="70">
                  <c:v>-5.5</c:v>
                </c:pt>
                <c:pt idx="71">
                  <c:v>3.88</c:v>
                </c:pt>
                <c:pt idx="72">
                  <c:v>-10.23</c:v>
                </c:pt>
                <c:pt idx="73">
                  <c:v>-4.62</c:v>
                </c:pt>
                <c:pt idx="74">
                  <c:v>7.86</c:v>
                </c:pt>
                <c:pt idx="75">
                  <c:v>0.93</c:v>
                </c:pt>
                <c:pt idx="76">
                  <c:v>-3.36</c:v>
                </c:pt>
                <c:pt idx="77">
                  <c:v>-0.15</c:v>
                </c:pt>
                <c:pt idx="78">
                  <c:v>-1.65</c:v>
                </c:pt>
                <c:pt idx="79">
                  <c:v>-8.89</c:v>
                </c:pt>
                <c:pt idx="80">
                  <c:v>-1.5</c:v>
                </c:pt>
                <c:pt idx="81">
                  <c:v>5.01</c:v>
                </c:pt>
                <c:pt idx="82">
                  <c:v>-9.73</c:v>
                </c:pt>
                <c:pt idx="83">
                  <c:v>-6.25</c:v>
                </c:pt>
                <c:pt idx="84">
                  <c:v>16.350000000000001</c:v>
                </c:pt>
                <c:pt idx="85">
                  <c:v>5.26</c:v>
                </c:pt>
                <c:pt idx="86">
                  <c:v>-2.84</c:v>
                </c:pt>
                <c:pt idx="87">
                  <c:v>-0.94</c:v>
                </c:pt>
                <c:pt idx="88">
                  <c:v>-6.33</c:v>
                </c:pt>
                <c:pt idx="89">
                  <c:v>6.21</c:v>
                </c:pt>
                <c:pt idx="90">
                  <c:v>-1.32</c:v>
                </c:pt>
                <c:pt idx="91">
                  <c:v>-0.06</c:v>
                </c:pt>
                <c:pt idx="92">
                  <c:v>8.73</c:v>
                </c:pt>
                <c:pt idx="93">
                  <c:v>-1.68</c:v>
                </c:pt>
                <c:pt idx="94">
                  <c:v>4.01</c:v>
                </c:pt>
                <c:pt idx="95">
                  <c:v>1.99</c:v>
                </c:pt>
              </c:numCache>
            </c:numRef>
          </c:val>
          <c:smooth val="0"/>
          <c:extLst>
            <c:ext xmlns:c16="http://schemas.microsoft.com/office/drawing/2014/chart" uri="{C3380CC4-5D6E-409C-BE32-E72D297353CC}">
              <c16:uniqueId val="{00000000-0B95-F24A-8068-D69DE38945CA}"/>
            </c:ext>
          </c:extLst>
        </c:ser>
        <c:dLbls>
          <c:showLegendKey val="0"/>
          <c:showVal val="0"/>
          <c:showCatName val="0"/>
          <c:showSerName val="0"/>
          <c:showPercent val="0"/>
          <c:showBubbleSize val="0"/>
        </c:dLbls>
        <c:smooth val="0"/>
        <c:axId val="2032380640"/>
        <c:axId val="2032876496"/>
      </c:lineChart>
      <c:dateAx>
        <c:axId val="2032380640"/>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876496"/>
        <c:crosses val="autoZero"/>
        <c:auto val="1"/>
        <c:lblOffset val="100"/>
        <c:baseTimeUnit val="months"/>
      </c:dateAx>
      <c:valAx>
        <c:axId val="2032876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23806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South Korea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Sheet1!$A$194:$A$289</c:f>
              <c:numCache>
                <c:formatCode>mmm\-yy</c:formatCode>
                <c:ptCount val="96"/>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numCache>
            </c:numRef>
          </c:cat>
          <c:val>
            <c:numRef>
              <c:f>Sheet1!$B$194:$B$289</c:f>
              <c:numCache>
                <c:formatCode>General</c:formatCode>
                <c:ptCount val="96"/>
                <c:pt idx="0">
                  <c:v>7.14</c:v>
                </c:pt>
                <c:pt idx="1">
                  <c:v>7.97</c:v>
                </c:pt>
                <c:pt idx="2">
                  <c:v>-4.25</c:v>
                </c:pt>
                <c:pt idx="3">
                  <c:v>-6.38</c:v>
                </c:pt>
                <c:pt idx="4">
                  <c:v>6.47</c:v>
                </c:pt>
                <c:pt idx="5">
                  <c:v>3.98</c:v>
                </c:pt>
                <c:pt idx="6">
                  <c:v>9.82</c:v>
                </c:pt>
                <c:pt idx="7">
                  <c:v>-2.37</c:v>
                </c:pt>
                <c:pt idx="8">
                  <c:v>12.36</c:v>
                </c:pt>
                <c:pt idx="9">
                  <c:v>-4.71</c:v>
                </c:pt>
                <c:pt idx="10">
                  <c:v>11.16</c:v>
                </c:pt>
                <c:pt idx="11">
                  <c:v>6.78</c:v>
                </c:pt>
                <c:pt idx="12">
                  <c:v>1.68</c:v>
                </c:pt>
                <c:pt idx="13">
                  <c:v>-0.95</c:v>
                </c:pt>
                <c:pt idx="14">
                  <c:v>-0.55000000000000004</c:v>
                </c:pt>
                <c:pt idx="15">
                  <c:v>4.2699999999999996</c:v>
                </c:pt>
                <c:pt idx="16">
                  <c:v>-7.37</c:v>
                </c:pt>
                <c:pt idx="17">
                  <c:v>-0.99</c:v>
                </c:pt>
                <c:pt idx="18">
                  <c:v>-0.43</c:v>
                </c:pt>
                <c:pt idx="19">
                  <c:v>5.45</c:v>
                </c:pt>
                <c:pt idx="20">
                  <c:v>3.04</c:v>
                </c:pt>
                <c:pt idx="21">
                  <c:v>-2.16</c:v>
                </c:pt>
                <c:pt idx="22">
                  <c:v>3.68</c:v>
                </c:pt>
                <c:pt idx="23">
                  <c:v>-0.39</c:v>
                </c:pt>
                <c:pt idx="24">
                  <c:v>-4.33</c:v>
                </c:pt>
                <c:pt idx="25">
                  <c:v>3.39</c:v>
                </c:pt>
                <c:pt idx="26">
                  <c:v>2.4</c:v>
                </c:pt>
                <c:pt idx="27">
                  <c:v>2.36</c:v>
                </c:pt>
                <c:pt idx="28">
                  <c:v>8.25</c:v>
                </c:pt>
                <c:pt idx="29">
                  <c:v>4.16</c:v>
                </c:pt>
                <c:pt idx="30">
                  <c:v>9.16</c:v>
                </c:pt>
                <c:pt idx="31">
                  <c:v>-3.81</c:v>
                </c:pt>
                <c:pt idx="32">
                  <c:v>2.62</c:v>
                </c:pt>
                <c:pt idx="33">
                  <c:v>3.3</c:v>
                </c:pt>
                <c:pt idx="34">
                  <c:v>-5.88</c:v>
                </c:pt>
                <c:pt idx="35">
                  <c:v>2.46</c:v>
                </c:pt>
                <c:pt idx="36">
                  <c:v>-11.4</c:v>
                </c:pt>
                <c:pt idx="37">
                  <c:v>3.19</c:v>
                </c:pt>
                <c:pt idx="38">
                  <c:v>0.51</c:v>
                </c:pt>
                <c:pt idx="39">
                  <c:v>7.39</c:v>
                </c:pt>
                <c:pt idx="40">
                  <c:v>0.83</c:v>
                </c:pt>
                <c:pt idx="41">
                  <c:v>-8.7200000000000006</c:v>
                </c:pt>
                <c:pt idx="42">
                  <c:v>-5.1100000000000003</c:v>
                </c:pt>
                <c:pt idx="43">
                  <c:v>-8.5399999999999991</c:v>
                </c:pt>
                <c:pt idx="44">
                  <c:v>-1.57</c:v>
                </c:pt>
                <c:pt idx="45">
                  <c:v>-25.81</c:v>
                </c:pt>
                <c:pt idx="46">
                  <c:v>-1.9</c:v>
                </c:pt>
                <c:pt idx="47">
                  <c:v>8.25</c:v>
                </c:pt>
                <c:pt idx="48">
                  <c:v>5.54</c:v>
                </c:pt>
                <c:pt idx="49">
                  <c:v>-8.41</c:v>
                </c:pt>
                <c:pt idx="50">
                  <c:v>14.68</c:v>
                </c:pt>
                <c:pt idx="51">
                  <c:v>16.53</c:v>
                </c:pt>
                <c:pt idx="52">
                  <c:v>2.19</c:v>
                </c:pt>
                <c:pt idx="53">
                  <c:v>-0.73</c:v>
                </c:pt>
                <c:pt idx="54">
                  <c:v>11.4</c:v>
                </c:pt>
                <c:pt idx="55">
                  <c:v>1.19</c:v>
                </c:pt>
                <c:pt idx="56">
                  <c:v>4.84</c:v>
                </c:pt>
                <c:pt idx="57">
                  <c:v>-5.27</c:v>
                </c:pt>
                <c:pt idx="58">
                  <c:v>-1.95</c:v>
                </c:pt>
                <c:pt idx="59">
                  <c:v>9.5500000000000007</c:v>
                </c:pt>
                <c:pt idx="60">
                  <c:v>-3.59</c:v>
                </c:pt>
                <c:pt idx="61">
                  <c:v>-0.37</c:v>
                </c:pt>
                <c:pt idx="62">
                  <c:v>5.69</c:v>
                </c:pt>
                <c:pt idx="63">
                  <c:v>1.1299999999999999</c:v>
                </c:pt>
                <c:pt idx="64">
                  <c:v>-6.29</c:v>
                </c:pt>
                <c:pt idx="65">
                  <c:v>3.49</c:v>
                </c:pt>
                <c:pt idx="66">
                  <c:v>3.45</c:v>
                </c:pt>
                <c:pt idx="67">
                  <c:v>-1.36</c:v>
                </c:pt>
                <c:pt idx="68">
                  <c:v>7.34</c:v>
                </c:pt>
                <c:pt idx="69">
                  <c:v>0.69</c:v>
                </c:pt>
                <c:pt idx="70">
                  <c:v>0.97</c:v>
                </c:pt>
                <c:pt idx="71">
                  <c:v>8.8800000000000008</c:v>
                </c:pt>
                <c:pt idx="72">
                  <c:v>0.03</c:v>
                </c:pt>
                <c:pt idx="73">
                  <c:v>-5.88</c:v>
                </c:pt>
                <c:pt idx="74">
                  <c:v>6.95</c:v>
                </c:pt>
                <c:pt idx="75">
                  <c:v>1.97</c:v>
                </c:pt>
                <c:pt idx="76">
                  <c:v>-2.75</c:v>
                </c:pt>
                <c:pt idx="77">
                  <c:v>-1.1100000000000001</c:v>
                </c:pt>
                <c:pt idx="78">
                  <c:v>2.2999999999999998</c:v>
                </c:pt>
                <c:pt idx="79">
                  <c:v>-12.07</c:v>
                </c:pt>
                <c:pt idx="80">
                  <c:v>-6.18</c:v>
                </c:pt>
                <c:pt idx="81">
                  <c:v>9.1999999999999993</c:v>
                </c:pt>
                <c:pt idx="82">
                  <c:v>-3.39</c:v>
                </c:pt>
                <c:pt idx="83">
                  <c:v>0.53</c:v>
                </c:pt>
                <c:pt idx="84">
                  <c:v>8.5299999999999994</c:v>
                </c:pt>
                <c:pt idx="85">
                  <c:v>4.25</c:v>
                </c:pt>
                <c:pt idx="86">
                  <c:v>-1.33</c:v>
                </c:pt>
                <c:pt idx="87">
                  <c:v>-3.3</c:v>
                </c:pt>
                <c:pt idx="88">
                  <c:v>-6.23</c:v>
                </c:pt>
                <c:pt idx="89">
                  <c:v>1.25</c:v>
                </c:pt>
                <c:pt idx="90">
                  <c:v>0.81</c:v>
                </c:pt>
                <c:pt idx="91">
                  <c:v>2.38</c:v>
                </c:pt>
                <c:pt idx="92">
                  <c:v>4.43</c:v>
                </c:pt>
                <c:pt idx="93">
                  <c:v>-4.13</c:v>
                </c:pt>
                <c:pt idx="94">
                  <c:v>0.52</c:v>
                </c:pt>
                <c:pt idx="95">
                  <c:v>3.54</c:v>
                </c:pt>
              </c:numCache>
            </c:numRef>
          </c:val>
          <c:smooth val="0"/>
          <c:extLst>
            <c:ext xmlns:c16="http://schemas.microsoft.com/office/drawing/2014/chart" uri="{C3380CC4-5D6E-409C-BE32-E72D297353CC}">
              <c16:uniqueId val="{00000000-825D-EB49-8EFB-F2790871C6DC}"/>
            </c:ext>
          </c:extLst>
        </c:ser>
        <c:dLbls>
          <c:showLegendKey val="0"/>
          <c:showVal val="0"/>
          <c:showCatName val="0"/>
          <c:showSerName val="0"/>
          <c:showPercent val="0"/>
          <c:showBubbleSize val="0"/>
        </c:dLbls>
        <c:smooth val="0"/>
        <c:axId val="2037174896"/>
        <c:axId val="1719820496"/>
      </c:lineChart>
      <c:dateAx>
        <c:axId val="203717489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9820496"/>
        <c:crosses val="autoZero"/>
        <c:auto val="1"/>
        <c:lblOffset val="100"/>
        <c:baseTimeUnit val="months"/>
      </c:dateAx>
      <c:valAx>
        <c:axId val="1719820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717489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Hong</a:t>
            </a:r>
            <a:r>
              <a:rPr lang="en-US" baseline="0"/>
              <a:t> Kong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Sheet1!$A$290:$A$385</c:f>
              <c:numCache>
                <c:formatCode>mmm\-yy</c:formatCode>
                <c:ptCount val="96"/>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numCache>
            </c:numRef>
          </c:cat>
          <c:val>
            <c:numRef>
              <c:f>Sheet1!$B$290:$B$385</c:f>
              <c:numCache>
                <c:formatCode>General</c:formatCode>
                <c:ptCount val="96"/>
                <c:pt idx="0">
                  <c:v>-1.87</c:v>
                </c:pt>
                <c:pt idx="1">
                  <c:v>6.17</c:v>
                </c:pt>
                <c:pt idx="2">
                  <c:v>-4.57</c:v>
                </c:pt>
                <c:pt idx="3">
                  <c:v>1.99</c:v>
                </c:pt>
                <c:pt idx="4">
                  <c:v>0.42</c:v>
                </c:pt>
                <c:pt idx="5">
                  <c:v>3.75</c:v>
                </c:pt>
                <c:pt idx="6">
                  <c:v>6.41</c:v>
                </c:pt>
                <c:pt idx="7">
                  <c:v>-1.2</c:v>
                </c:pt>
                <c:pt idx="8">
                  <c:v>3.64</c:v>
                </c:pt>
                <c:pt idx="9">
                  <c:v>-7.61</c:v>
                </c:pt>
                <c:pt idx="10">
                  <c:v>7.71</c:v>
                </c:pt>
                <c:pt idx="11">
                  <c:v>2.72</c:v>
                </c:pt>
                <c:pt idx="12">
                  <c:v>7.83</c:v>
                </c:pt>
                <c:pt idx="13">
                  <c:v>3.37</c:v>
                </c:pt>
                <c:pt idx="14">
                  <c:v>2.4300000000000002</c:v>
                </c:pt>
                <c:pt idx="15">
                  <c:v>3.36</c:v>
                </c:pt>
                <c:pt idx="16">
                  <c:v>-4.83</c:v>
                </c:pt>
                <c:pt idx="17">
                  <c:v>1.55</c:v>
                </c:pt>
                <c:pt idx="18">
                  <c:v>2.36</c:v>
                </c:pt>
                <c:pt idx="19">
                  <c:v>2.35</c:v>
                </c:pt>
                <c:pt idx="20">
                  <c:v>2.09</c:v>
                </c:pt>
                <c:pt idx="21">
                  <c:v>3.46</c:v>
                </c:pt>
                <c:pt idx="22">
                  <c:v>7.66</c:v>
                </c:pt>
                <c:pt idx="23">
                  <c:v>9.92</c:v>
                </c:pt>
                <c:pt idx="24">
                  <c:v>-0.48</c:v>
                </c:pt>
                <c:pt idx="25">
                  <c:v>-1.66</c:v>
                </c:pt>
                <c:pt idx="26">
                  <c:v>3.85</c:v>
                </c:pt>
                <c:pt idx="27">
                  <c:v>3.36</c:v>
                </c:pt>
                <c:pt idx="28">
                  <c:v>6.64</c:v>
                </c:pt>
                <c:pt idx="29">
                  <c:v>5.77</c:v>
                </c:pt>
                <c:pt idx="30">
                  <c:v>9.0500000000000007</c:v>
                </c:pt>
                <c:pt idx="31">
                  <c:v>2.2999999999999998</c:v>
                </c:pt>
                <c:pt idx="32">
                  <c:v>14.73</c:v>
                </c:pt>
                <c:pt idx="33">
                  <c:v>17.920000000000002</c:v>
                </c:pt>
                <c:pt idx="34">
                  <c:v>-9.8800000000000008</c:v>
                </c:pt>
                <c:pt idx="35">
                  <c:v>-2.82</c:v>
                </c:pt>
                <c:pt idx="36">
                  <c:v>-17.489999999999998</c:v>
                </c:pt>
                <c:pt idx="37">
                  <c:v>6.85</c:v>
                </c:pt>
                <c:pt idx="38">
                  <c:v>0.39</c:v>
                </c:pt>
                <c:pt idx="39">
                  <c:v>13.55</c:v>
                </c:pt>
                <c:pt idx="40">
                  <c:v>-3.18</c:v>
                </c:pt>
                <c:pt idx="41">
                  <c:v>-10.44</c:v>
                </c:pt>
                <c:pt idx="42">
                  <c:v>2.0699999999999998</c:v>
                </c:pt>
                <c:pt idx="43">
                  <c:v>-7.7</c:v>
                </c:pt>
                <c:pt idx="44">
                  <c:v>-20.48</c:v>
                </c:pt>
                <c:pt idx="45">
                  <c:v>-24.95</c:v>
                </c:pt>
                <c:pt idx="46">
                  <c:v>6</c:v>
                </c:pt>
                <c:pt idx="47">
                  <c:v>11.91</c:v>
                </c:pt>
                <c:pt idx="48">
                  <c:v>-6.93</c:v>
                </c:pt>
                <c:pt idx="49">
                  <c:v>-3.69</c:v>
                </c:pt>
                <c:pt idx="50">
                  <c:v>13.61</c:v>
                </c:pt>
                <c:pt idx="51">
                  <c:v>14.43</c:v>
                </c:pt>
                <c:pt idx="52">
                  <c:v>21.3</c:v>
                </c:pt>
                <c:pt idx="53">
                  <c:v>3.19</c:v>
                </c:pt>
                <c:pt idx="54">
                  <c:v>10.75</c:v>
                </c:pt>
                <c:pt idx="55">
                  <c:v>-6.62</c:v>
                </c:pt>
                <c:pt idx="56">
                  <c:v>5.01</c:v>
                </c:pt>
                <c:pt idx="57">
                  <c:v>5.49</c:v>
                </c:pt>
                <c:pt idx="58">
                  <c:v>1.33</c:v>
                </c:pt>
                <c:pt idx="59">
                  <c:v>0.25</c:v>
                </c:pt>
                <c:pt idx="60">
                  <c:v>-7.24</c:v>
                </c:pt>
                <c:pt idx="61">
                  <c:v>2.1</c:v>
                </c:pt>
                <c:pt idx="62">
                  <c:v>5.46</c:v>
                </c:pt>
                <c:pt idx="63">
                  <c:v>-0.39</c:v>
                </c:pt>
                <c:pt idx="64">
                  <c:v>-4.32</c:v>
                </c:pt>
                <c:pt idx="65">
                  <c:v>2.3199999999999998</c:v>
                </c:pt>
                <c:pt idx="66">
                  <c:v>4.5599999999999996</c:v>
                </c:pt>
                <c:pt idx="67">
                  <c:v>-2.34</c:v>
                </c:pt>
                <c:pt idx="68">
                  <c:v>9.58</c:v>
                </c:pt>
                <c:pt idx="69">
                  <c:v>4.33</c:v>
                </c:pt>
                <c:pt idx="70">
                  <c:v>-0.95</c:v>
                </c:pt>
                <c:pt idx="71">
                  <c:v>-0.18</c:v>
                </c:pt>
                <c:pt idx="72">
                  <c:v>0.32</c:v>
                </c:pt>
                <c:pt idx="73">
                  <c:v>-2.3199999999999998</c:v>
                </c:pt>
                <c:pt idx="74">
                  <c:v>4.5599999999999996</c:v>
                </c:pt>
                <c:pt idx="75">
                  <c:v>0.83</c:v>
                </c:pt>
                <c:pt idx="76">
                  <c:v>0.33</c:v>
                </c:pt>
                <c:pt idx="77">
                  <c:v>-3.74</c:v>
                </c:pt>
                <c:pt idx="78">
                  <c:v>-0.56999999999999995</c:v>
                </c:pt>
                <c:pt idx="79">
                  <c:v>-9.85</c:v>
                </c:pt>
                <c:pt idx="80">
                  <c:v>-17.329999999999998</c:v>
                </c:pt>
                <c:pt idx="81">
                  <c:v>17.3</c:v>
                </c:pt>
                <c:pt idx="82">
                  <c:v>-8.1199999999999992</c:v>
                </c:pt>
                <c:pt idx="83">
                  <c:v>2.88</c:v>
                </c:pt>
                <c:pt idx="84">
                  <c:v>11.3</c:v>
                </c:pt>
                <c:pt idx="85">
                  <c:v>7.3</c:v>
                </c:pt>
                <c:pt idx="86">
                  <c:v>-7.72</c:v>
                </c:pt>
                <c:pt idx="87">
                  <c:v>2.9</c:v>
                </c:pt>
                <c:pt idx="88">
                  <c:v>-10.62</c:v>
                </c:pt>
                <c:pt idx="89">
                  <c:v>1.72</c:v>
                </c:pt>
                <c:pt idx="90">
                  <c:v>1.55</c:v>
                </c:pt>
                <c:pt idx="91">
                  <c:v>-2.06</c:v>
                </c:pt>
                <c:pt idx="92">
                  <c:v>6.56</c:v>
                </c:pt>
                <c:pt idx="93">
                  <c:v>5.64</c:v>
                </c:pt>
                <c:pt idx="94">
                  <c:v>2</c:v>
                </c:pt>
                <c:pt idx="95">
                  <c:v>5.48</c:v>
                </c:pt>
              </c:numCache>
            </c:numRef>
          </c:val>
          <c:smooth val="0"/>
          <c:extLst>
            <c:ext xmlns:c16="http://schemas.microsoft.com/office/drawing/2014/chart" uri="{C3380CC4-5D6E-409C-BE32-E72D297353CC}">
              <c16:uniqueId val="{00000000-2E6B-4041-83AE-BA953BA4282D}"/>
            </c:ext>
          </c:extLst>
        </c:ser>
        <c:dLbls>
          <c:showLegendKey val="0"/>
          <c:showVal val="0"/>
          <c:showCatName val="0"/>
          <c:showSerName val="0"/>
          <c:showPercent val="0"/>
          <c:showBubbleSize val="0"/>
        </c:dLbls>
        <c:smooth val="0"/>
        <c:axId val="1793849776"/>
        <c:axId val="1721205520"/>
      </c:lineChart>
      <c:dateAx>
        <c:axId val="1793849776"/>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1205520"/>
        <c:crosses val="autoZero"/>
        <c:auto val="1"/>
        <c:lblOffset val="100"/>
        <c:baseTimeUnit val="months"/>
      </c:dateAx>
      <c:valAx>
        <c:axId val="1721205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849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Singapore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numRef>
              <c:f>Sheet1!$A$386:$A$481</c:f>
              <c:numCache>
                <c:formatCode>mmm\-yy</c:formatCode>
                <c:ptCount val="96"/>
                <c:pt idx="0">
                  <c:v>38353</c:v>
                </c:pt>
                <c:pt idx="1">
                  <c:v>38384</c:v>
                </c:pt>
                <c:pt idx="2">
                  <c:v>38412</c:v>
                </c:pt>
                <c:pt idx="3">
                  <c:v>38443</c:v>
                </c:pt>
                <c:pt idx="4">
                  <c:v>38473</c:v>
                </c:pt>
                <c:pt idx="5">
                  <c:v>38504</c:v>
                </c:pt>
                <c:pt idx="6">
                  <c:v>38534</c:v>
                </c:pt>
                <c:pt idx="7">
                  <c:v>38565</c:v>
                </c:pt>
                <c:pt idx="8">
                  <c:v>38596</c:v>
                </c:pt>
                <c:pt idx="9">
                  <c:v>38626</c:v>
                </c:pt>
                <c:pt idx="10">
                  <c:v>38657</c:v>
                </c:pt>
                <c:pt idx="11">
                  <c:v>38687</c:v>
                </c:pt>
                <c:pt idx="12">
                  <c:v>38718</c:v>
                </c:pt>
                <c:pt idx="13">
                  <c:v>38749</c:v>
                </c:pt>
                <c:pt idx="14">
                  <c:v>38777</c:v>
                </c:pt>
                <c:pt idx="15">
                  <c:v>38808</c:v>
                </c:pt>
                <c:pt idx="16">
                  <c:v>38838</c:v>
                </c:pt>
                <c:pt idx="17">
                  <c:v>38869</c:v>
                </c:pt>
                <c:pt idx="18">
                  <c:v>38899</c:v>
                </c:pt>
                <c:pt idx="19">
                  <c:v>38930</c:v>
                </c:pt>
                <c:pt idx="20">
                  <c:v>38961</c:v>
                </c:pt>
                <c:pt idx="21">
                  <c:v>38991</c:v>
                </c:pt>
                <c:pt idx="22">
                  <c:v>39022</c:v>
                </c:pt>
                <c:pt idx="23">
                  <c:v>39052</c:v>
                </c:pt>
                <c:pt idx="24">
                  <c:v>39083</c:v>
                </c:pt>
                <c:pt idx="25">
                  <c:v>39114</c:v>
                </c:pt>
                <c:pt idx="26">
                  <c:v>39142</c:v>
                </c:pt>
                <c:pt idx="27">
                  <c:v>39173</c:v>
                </c:pt>
                <c:pt idx="28">
                  <c:v>39203</c:v>
                </c:pt>
                <c:pt idx="29">
                  <c:v>39234</c:v>
                </c:pt>
                <c:pt idx="30">
                  <c:v>39264</c:v>
                </c:pt>
                <c:pt idx="31">
                  <c:v>39295</c:v>
                </c:pt>
                <c:pt idx="32">
                  <c:v>39326</c:v>
                </c:pt>
                <c:pt idx="33">
                  <c:v>39356</c:v>
                </c:pt>
                <c:pt idx="34">
                  <c:v>39387</c:v>
                </c:pt>
                <c:pt idx="35">
                  <c:v>39417</c:v>
                </c:pt>
                <c:pt idx="36">
                  <c:v>39448</c:v>
                </c:pt>
                <c:pt idx="37">
                  <c:v>39479</c:v>
                </c:pt>
                <c:pt idx="38">
                  <c:v>39508</c:v>
                </c:pt>
                <c:pt idx="39">
                  <c:v>39539</c:v>
                </c:pt>
                <c:pt idx="40">
                  <c:v>39569</c:v>
                </c:pt>
                <c:pt idx="41">
                  <c:v>39600</c:v>
                </c:pt>
                <c:pt idx="42">
                  <c:v>39630</c:v>
                </c:pt>
                <c:pt idx="43">
                  <c:v>39661</c:v>
                </c:pt>
                <c:pt idx="44">
                  <c:v>39692</c:v>
                </c:pt>
                <c:pt idx="45">
                  <c:v>39722</c:v>
                </c:pt>
                <c:pt idx="46">
                  <c:v>39753</c:v>
                </c:pt>
                <c:pt idx="47">
                  <c:v>39783</c:v>
                </c:pt>
                <c:pt idx="48">
                  <c:v>39814</c:v>
                </c:pt>
                <c:pt idx="49">
                  <c:v>39845</c:v>
                </c:pt>
                <c:pt idx="50">
                  <c:v>39873</c:v>
                </c:pt>
                <c:pt idx="51">
                  <c:v>39904</c:v>
                </c:pt>
                <c:pt idx="52">
                  <c:v>39934</c:v>
                </c:pt>
                <c:pt idx="53">
                  <c:v>39965</c:v>
                </c:pt>
                <c:pt idx="54">
                  <c:v>39995</c:v>
                </c:pt>
                <c:pt idx="55">
                  <c:v>40026</c:v>
                </c:pt>
                <c:pt idx="56">
                  <c:v>40057</c:v>
                </c:pt>
                <c:pt idx="57">
                  <c:v>40087</c:v>
                </c:pt>
                <c:pt idx="58">
                  <c:v>40118</c:v>
                </c:pt>
                <c:pt idx="59">
                  <c:v>40148</c:v>
                </c:pt>
                <c:pt idx="60">
                  <c:v>40179</c:v>
                </c:pt>
                <c:pt idx="61">
                  <c:v>40210</c:v>
                </c:pt>
                <c:pt idx="62">
                  <c:v>40238</c:v>
                </c:pt>
                <c:pt idx="63">
                  <c:v>40269</c:v>
                </c:pt>
                <c:pt idx="64">
                  <c:v>40299</c:v>
                </c:pt>
                <c:pt idx="65">
                  <c:v>40330</c:v>
                </c:pt>
                <c:pt idx="66">
                  <c:v>40360</c:v>
                </c:pt>
                <c:pt idx="67">
                  <c:v>40391</c:v>
                </c:pt>
                <c:pt idx="68">
                  <c:v>40422</c:v>
                </c:pt>
                <c:pt idx="69">
                  <c:v>40452</c:v>
                </c:pt>
                <c:pt idx="70">
                  <c:v>40483</c:v>
                </c:pt>
                <c:pt idx="71">
                  <c:v>40513</c:v>
                </c:pt>
                <c:pt idx="72">
                  <c:v>40544</c:v>
                </c:pt>
                <c:pt idx="73">
                  <c:v>40575</c:v>
                </c:pt>
                <c:pt idx="74">
                  <c:v>40603</c:v>
                </c:pt>
                <c:pt idx="75">
                  <c:v>40634</c:v>
                </c:pt>
                <c:pt idx="76">
                  <c:v>40664</c:v>
                </c:pt>
                <c:pt idx="77">
                  <c:v>40695</c:v>
                </c:pt>
                <c:pt idx="78">
                  <c:v>40725</c:v>
                </c:pt>
                <c:pt idx="79">
                  <c:v>40756</c:v>
                </c:pt>
                <c:pt idx="80">
                  <c:v>40787</c:v>
                </c:pt>
                <c:pt idx="81">
                  <c:v>40817</c:v>
                </c:pt>
                <c:pt idx="82">
                  <c:v>40848</c:v>
                </c:pt>
                <c:pt idx="83">
                  <c:v>40878</c:v>
                </c:pt>
                <c:pt idx="84">
                  <c:v>40909</c:v>
                </c:pt>
                <c:pt idx="85">
                  <c:v>40940</c:v>
                </c:pt>
                <c:pt idx="86">
                  <c:v>40969</c:v>
                </c:pt>
                <c:pt idx="87">
                  <c:v>41000</c:v>
                </c:pt>
                <c:pt idx="88">
                  <c:v>41030</c:v>
                </c:pt>
                <c:pt idx="89">
                  <c:v>41061</c:v>
                </c:pt>
                <c:pt idx="90">
                  <c:v>41091</c:v>
                </c:pt>
                <c:pt idx="91">
                  <c:v>41122</c:v>
                </c:pt>
                <c:pt idx="92">
                  <c:v>41153</c:v>
                </c:pt>
                <c:pt idx="93">
                  <c:v>41183</c:v>
                </c:pt>
                <c:pt idx="94">
                  <c:v>41214</c:v>
                </c:pt>
                <c:pt idx="95">
                  <c:v>41244</c:v>
                </c:pt>
              </c:numCache>
            </c:numRef>
          </c:cat>
          <c:val>
            <c:numRef>
              <c:f>Sheet1!$B$386:$B$481</c:f>
              <c:numCache>
                <c:formatCode>General</c:formatCode>
                <c:ptCount val="96"/>
                <c:pt idx="0">
                  <c:v>2.95</c:v>
                </c:pt>
                <c:pt idx="1">
                  <c:v>0.81</c:v>
                </c:pt>
                <c:pt idx="2">
                  <c:v>0.45</c:v>
                </c:pt>
                <c:pt idx="3">
                  <c:v>-0.03</c:v>
                </c:pt>
                <c:pt idx="4">
                  <c:v>1.83</c:v>
                </c:pt>
                <c:pt idx="5">
                  <c:v>3.61</c:v>
                </c:pt>
                <c:pt idx="6">
                  <c:v>5.86</c:v>
                </c:pt>
                <c:pt idx="7">
                  <c:v>-2.2200000000000002</c:v>
                </c:pt>
                <c:pt idx="8">
                  <c:v>1.48</c:v>
                </c:pt>
                <c:pt idx="9">
                  <c:v>-3.65</c:v>
                </c:pt>
                <c:pt idx="10">
                  <c:v>3.99</c:v>
                </c:pt>
                <c:pt idx="11">
                  <c:v>2.85</c:v>
                </c:pt>
                <c:pt idx="12">
                  <c:v>3.19</c:v>
                </c:pt>
                <c:pt idx="13">
                  <c:v>2.87</c:v>
                </c:pt>
                <c:pt idx="14">
                  <c:v>2.96</c:v>
                </c:pt>
                <c:pt idx="15">
                  <c:v>3.24</c:v>
                </c:pt>
                <c:pt idx="16">
                  <c:v>-7.48</c:v>
                </c:pt>
                <c:pt idx="17">
                  <c:v>1.4</c:v>
                </c:pt>
                <c:pt idx="18">
                  <c:v>0.98</c:v>
                </c:pt>
                <c:pt idx="19">
                  <c:v>2.71</c:v>
                </c:pt>
                <c:pt idx="20">
                  <c:v>3.22</c:v>
                </c:pt>
                <c:pt idx="21">
                  <c:v>5.13</c:v>
                </c:pt>
                <c:pt idx="22">
                  <c:v>4.76</c:v>
                </c:pt>
                <c:pt idx="23">
                  <c:v>6.56</c:v>
                </c:pt>
                <c:pt idx="24">
                  <c:v>6.11</c:v>
                </c:pt>
                <c:pt idx="25">
                  <c:v>-0.37</c:v>
                </c:pt>
                <c:pt idx="26">
                  <c:v>4.51</c:v>
                </c:pt>
                <c:pt idx="27">
                  <c:v>5.54</c:v>
                </c:pt>
                <c:pt idx="28">
                  <c:v>4.21</c:v>
                </c:pt>
                <c:pt idx="29">
                  <c:v>3.01</c:v>
                </c:pt>
                <c:pt idx="30">
                  <c:v>-0.16</c:v>
                </c:pt>
                <c:pt idx="31">
                  <c:v>-4.2</c:v>
                </c:pt>
                <c:pt idx="32">
                  <c:v>8.5500000000000007</c:v>
                </c:pt>
                <c:pt idx="33">
                  <c:v>2.14</c:v>
                </c:pt>
                <c:pt idx="34">
                  <c:v>-7.27</c:v>
                </c:pt>
                <c:pt idx="35">
                  <c:v>0.03</c:v>
                </c:pt>
                <c:pt idx="36">
                  <c:v>-13.29</c:v>
                </c:pt>
                <c:pt idx="37">
                  <c:v>3.23</c:v>
                </c:pt>
                <c:pt idx="38">
                  <c:v>-1.74</c:v>
                </c:pt>
                <c:pt idx="39">
                  <c:v>4.58</c:v>
                </c:pt>
                <c:pt idx="40">
                  <c:v>2</c:v>
                </c:pt>
                <c:pt idx="41">
                  <c:v>-7.71</c:v>
                </c:pt>
                <c:pt idx="42">
                  <c:v>-2.69</c:v>
                </c:pt>
                <c:pt idx="43">
                  <c:v>-7.63</c:v>
                </c:pt>
                <c:pt idx="44">
                  <c:v>-16.98</c:v>
                </c:pt>
                <c:pt idx="45">
                  <c:v>-25.61</c:v>
                </c:pt>
                <c:pt idx="46">
                  <c:v>-1.62</c:v>
                </c:pt>
                <c:pt idx="47">
                  <c:v>5.76</c:v>
                </c:pt>
                <c:pt idx="48">
                  <c:v>-0.27</c:v>
                </c:pt>
                <c:pt idx="49">
                  <c:v>-7.65</c:v>
                </c:pt>
                <c:pt idx="50">
                  <c:v>5.71</c:v>
                </c:pt>
                <c:pt idx="51">
                  <c:v>16.59</c:v>
                </c:pt>
                <c:pt idx="52">
                  <c:v>29.64</c:v>
                </c:pt>
                <c:pt idx="53">
                  <c:v>0.1</c:v>
                </c:pt>
                <c:pt idx="54">
                  <c:v>13.64</c:v>
                </c:pt>
                <c:pt idx="55">
                  <c:v>0.77</c:v>
                </c:pt>
                <c:pt idx="56">
                  <c:v>3.25</c:v>
                </c:pt>
                <c:pt idx="57">
                  <c:v>-1.36</c:v>
                </c:pt>
                <c:pt idx="58">
                  <c:v>1.59</c:v>
                </c:pt>
                <c:pt idx="59">
                  <c:v>6.93</c:v>
                </c:pt>
                <c:pt idx="60">
                  <c:v>-3.21</c:v>
                </c:pt>
                <c:pt idx="61">
                  <c:v>0.43</c:v>
                </c:pt>
                <c:pt idx="62">
                  <c:v>5.21</c:v>
                </c:pt>
                <c:pt idx="63">
                  <c:v>4.07</c:v>
                </c:pt>
                <c:pt idx="64">
                  <c:v>-7.1</c:v>
                </c:pt>
                <c:pt idx="65">
                  <c:v>3.36</c:v>
                </c:pt>
                <c:pt idx="66">
                  <c:v>5.32</c:v>
                </c:pt>
                <c:pt idx="67">
                  <c:v>-0.35</c:v>
                </c:pt>
                <c:pt idx="68">
                  <c:v>5.1100000000000003</c:v>
                </c:pt>
                <c:pt idx="69">
                  <c:v>1.96</c:v>
                </c:pt>
                <c:pt idx="70">
                  <c:v>0.01</c:v>
                </c:pt>
                <c:pt idx="71">
                  <c:v>2.1</c:v>
                </c:pt>
                <c:pt idx="72">
                  <c:v>-0.78</c:v>
                </c:pt>
                <c:pt idx="73">
                  <c:v>-5.39</c:v>
                </c:pt>
                <c:pt idx="74">
                  <c:v>3</c:v>
                </c:pt>
                <c:pt idx="75">
                  <c:v>1.99</c:v>
                </c:pt>
                <c:pt idx="76">
                  <c:v>-0.47</c:v>
                </c:pt>
                <c:pt idx="77">
                  <c:v>-1.58</c:v>
                </c:pt>
                <c:pt idx="78">
                  <c:v>2.0099999999999998</c:v>
                </c:pt>
                <c:pt idx="79">
                  <c:v>-9.65</c:v>
                </c:pt>
                <c:pt idx="80">
                  <c:v>-7.18</c:v>
                </c:pt>
                <c:pt idx="81">
                  <c:v>6.5</c:v>
                </c:pt>
                <c:pt idx="82">
                  <c:v>-5.51</c:v>
                </c:pt>
                <c:pt idx="83">
                  <c:v>-0.78</c:v>
                </c:pt>
                <c:pt idx="84">
                  <c:v>10.65</c:v>
                </c:pt>
                <c:pt idx="85">
                  <c:v>4.51</c:v>
                </c:pt>
                <c:pt idx="86">
                  <c:v>0.96</c:v>
                </c:pt>
                <c:pt idx="87">
                  <c:v>-1.0900000000000001</c:v>
                </c:pt>
                <c:pt idx="88">
                  <c:v>-6.09</c:v>
                </c:pt>
                <c:pt idx="89">
                  <c:v>3.1</c:v>
                </c:pt>
                <c:pt idx="90">
                  <c:v>4.1399999999999997</c:v>
                </c:pt>
                <c:pt idx="91">
                  <c:v>1.3</c:v>
                </c:pt>
                <c:pt idx="92">
                  <c:v>2.4300000000000002</c:v>
                </c:pt>
                <c:pt idx="93">
                  <c:v>-0.23</c:v>
                </c:pt>
                <c:pt idx="94">
                  <c:v>0.76</c:v>
                </c:pt>
                <c:pt idx="95">
                  <c:v>3.49</c:v>
                </c:pt>
              </c:numCache>
            </c:numRef>
          </c:val>
          <c:smooth val="0"/>
          <c:extLst>
            <c:ext xmlns:c16="http://schemas.microsoft.com/office/drawing/2014/chart" uri="{C3380CC4-5D6E-409C-BE32-E72D297353CC}">
              <c16:uniqueId val="{00000000-DEEB-594C-BF49-53360622A0AF}"/>
            </c:ext>
          </c:extLst>
        </c:ser>
        <c:dLbls>
          <c:showLegendKey val="0"/>
          <c:showVal val="0"/>
          <c:showCatName val="0"/>
          <c:showSerName val="0"/>
          <c:showPercent val="0"/>
          <c:showBubbleSize val="0"/>
        </c:dLbls>
        <c:smooth val="0"/>
        <c:axId val="1721014464"/>
        <c:axId val="1793228416"/>
      </c:lineChart>
      <c:dateAx>
        <c:axId val="17210144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93228416"/>
        <c:crosses val="autoZero"/>
        <c:auto val="1"/>
        <c:lblOffset val="100"/>
        <c:baseTimeUnit val="months"/>
      </c:dateAx>
      <c:valAx>
        <c:axId val="1793228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10144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baseline="0">
                <a:solidFill>
                  <a:sysClr val="windowText" lastClr="000000">
                    <a:lumMod val="65000"/>
                    <a:lumOff val="35000"/>
                  </a:sysClr>
                </a:solidFill>
                <a:latin typeface="+mn-lt"/>
                <a:ea typeface="+mn-ea"/>
                <a:cs typeface="+mn-cs"/>
              </a:defRPr>
            </a:pPr>
            <a:r>
              <a:rPr lang="en-US" sz="1400" b="0" i="0" u="none" strike="noStrike" baseline="0">
                <a:solidFill>
                  <a:sysClr val="windowText" lastClr="000000">
                    <a:lumMod val="65000"/>
                    <a:lumOff val="35000"/>
                  </a:sysClr>
                </a:solidFill>
                <a:latin typeface="Calibri" panose="020F0502020204030204"/>
              </a:rPr>
              <a:t>Average SMB for different countries</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cat>
            <c:strRef>
              <c:f>Sheet1!$H$2:$H$6</c:f>
              <c:strCache>
                <c:ptCount val="5"/>
                <c:pt idx="0">
                  <c:v>China</c:v>
                </c:pt>
                <c:pt idx="1">
                  <c:v>India</c:v>
                </c:pt>
                <c:pt idx="2">
                  <c:v>South Korea</c:v>
                </c:pt>
                <c:pt idx="3">
                  <c:v>Hong Kong</c:v>
                </c:pt>
                <c:pt idx="4">
                  <c:v>Singapore</c:v>
                </c:pt>
              </c:strCache>
            </c:strRef>
          </c:cat>
          <c:val>
            <c:numRef>
              <c:f>Sheet1!$J$2:$J$6</c:f>
              <c:numCache>
                <c:formatCode>0.0000</c:formatCode>
                <c:ptCount val="5"/>
                <c:pt idx="0">
                  <c:v>0.70937499999999964</c:v>
                </c:pt>
                <c:pt idx="1">
                  <c:v>0.52989583333333334</c:v>
                </c:pt>
                <c:pt idx="2">
                  <c:v>0.85427083333333309</c:v>
                </c:pt>
                <c:pt idx="3">
                  <c:v>4.7812499999999987E-2</c:v>
                </c:pt>
                <c:pt idx="4">
                  <c:v>0.17666666666666661</c:v>
                </c:pt>
              </c:numCache>
            </c:numRef>
          </c:val>
          <c:extLst>
            <c:ext xmlns:c16="http://schemas.microsoft.com/office/drawing/2014/chart" uri="{C3380CC4-5D6E-409C-BE32-E72D297353CC}">
              <c16:uniqueId val="{00000000-1DDD-9743-B9BC-5BFE8C72513C}"/>
            </c:ext>
          </c:extLst>
        </c:ser>
        <c:dLbls>
          <c:showLegendKey val="0"/>
          <c:showVal val="0"/>
          <c:showCatName val="0"/>
          <c:showSerName val="0"/>
          <c:showPercent val="0"/>
          <c:showBubbleSize val="0"/>
        </c:dLbls>
        <c:gapWidth val="0"/>
        <c:axId val="747784576"/>
        <c:axId val="748372480"/>
      </c:barChart>
      <c:catAx>
        <c:axId val="74778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748372480"/>
        <c:crosses val="autoZero"/>
        <c:auto val="1"/>
        <c:lblAlgn val="ctr"/>
        <c:lblOffset val="100"/>
        <c:noMultiLvlLbl val="0"/>
      </c:catAx>
      <c:valAx>
        <c:axId val="748372480"/>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747784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r>
              <a:rPr lang="en-US" sz="1400" b="0" i="0" u="none" strike="noStrike" baseline="0">
                <a:solidFill>
                  <a:sysClr val="windowText" lastClr="000000">
                    <a:lumMod val="65000"/>
                    <a:lumOff val="35000"/>
                  </a:sysClr>
                </a:solidFill>
                <a:latin typeface="Calibri" panose="020F0502020204030204"/>
              </a:rPr>
              <a:t>Average HML for different countries</a:t>
            </a:r>
          </a:p>
        </c:rich>
      </c:tx>
      <c:overlay val="0"/>
      <c:spPr>
        <a:noFill/>
        <a:ln>
          <a:noFill/>
        </a:ln>
        <a:effectLst/>
      </c:spPr>
      <c:txPr>
        <a:bodyPr rot="0" spcFirstLastPara="1" vertOverflow="ellipsis" vert="horz" wrap="square" anchor="ctr" anchorCtr="1"/>
        <a:lstStyle/>
        <a:p>
          <a:pPr>
            <a:defRPr sz="1400" b="0" i="0" u="none" strike="noStrike"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Sheet1!$H$2:$H$6</c:f>
              <c:strCache>
                <c:ptCount val="5"/>
                <c:pt idx="0">
                  <c:v>China</c:v>
                </c:pt>
                <c:pt idx="1">
                  <c:v>India</c:v>
                </c:pt>
                <c:pt idx="2">
                  <c:v>South Korea</c:v>
                </c:pt>
                <c:pt idx="3">
                  <c:v>Hong Kong</c:v>
                </c:pt>
                <c:pt idx="4">
                  <c:v>Singapore</c:v>
                </c:pt>
              </c:strCache>
            </c:strRef>
          </c:cat>
          <c:val>
            <c:numRef>
              <c:f>Sheet1!$I$2:$I$6</c:f>
              <c:numCache>
                <c:formatCode>0.0000</c:formatCode>
                <c:ptCount val="5"/>
                <c:pt idx="0">
                  <c:v>-9.3541666666666648E-2</c:v>
                </c:pt>
                <c:pt idx="1">
                  <c:v>7.760416666666671E-2</c:v>
                </c:pt>
                <c:pt idx="2">
                  <c:v>1.1235416666666669</c:v>
                </c:pt>
                <c:pt idx="3">
                  <c:v>0.47750000000000004</c:v>
                </c:pt>
                <c:pt idx="4">
                  <c:v>0.6830208333333333</c:v>
                </c:pt>
              </c:numCache>
            </c:numRef>
          </c:val>
          <c:extLst>
            <c:ext xmlns:c16="http://schemas.microsoft.com/office/drawing/2014/chart" uri="{C3380CC4-5D6E-409C-BE32-E72D297353CC}">
              <c16:uniqueId val="{00000000-FB4F-2C40-9CF9-2EA552D2089A}"/>
            </c:ext>
          </c:extLst>
        </c:ser>
        <c:dLbls>
          <c:showLegendKey val="0"/>
          <c:showVal val="0"/>
          <c:showCatName val="0"/>
          <c:showSerName val="0"/>
          <c:showPercent val="0"/>
          <c:showBubbleSize val="0"/>
        </c:dLbls>
        <c:gapWidth val="0"/>
        <c:axId val="698716400"/>
        <c:axId val="699238464"/>
      </c:barChart>
      <c:catAx>
        <c:axId val="69871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699238464"/>
        <c:crosses val="autoZero"/>
        <c:auto val="1"/>
        <c:lblAlgn val="ctr"/>
        <c:lblOffset val="100"/>
        <c:noMultiLvlLbl val="0"/>
      </c:catAx>
      <c:valAx>
        <c:axId val="699238464"/>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baseline="0">
                <a:solidFill>
                  <a:schemeClr val="tx1">
                    <a:lumMod val="65000"/>
                    <a:lumOff val="35000"/>
                  </a:schemeClr>
                </a:solidFill>
                <a:latin typeface="+mn-lt"/>
                <a:ea typeface="+mn-ea"/>
                <a:cs typeface="+mn-cs"/>
              </a:defRPr>
            </a:pPr>
            <a:endParaRPr lang="en-US"/>
          </a:p>
        </c:txPr>
        <c:crossAx val="698716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366">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17CA5-43DD-0746-AC70-9463DAA9C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4208</Words>
  <Characters>23987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2020-09-14T15:59:00Z</dcterms:created>
  <dcterms:modified xsi:type="dcterms:W3CDTF">2020-09-15T16:37:00Z</dcterms:modified>
</cp:coreProperties>
</file>