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19D922" w14:textId="77777777" w:rsidR="00AD7857" w:rsidRPr="00813173" w:rsidRDefault="00AD7857" w:rsidP="00AD7857">
      <w:pPr>
        <w:spacing w:line="480" w:lineRule="auto"/>
        <w:rPr>
          <w:rFonts w:ascii="Garamond" w:hAnsi="Garamond" w:cs="Times New Roman"/>
        </w:rPr>
      </w:pPr>
    </w:p>
    <w:p w14:paraId="73ABCDDC" w14:textId="77777777" w:rsidR="00AD7857" w:rsidRPr="00813173" w:rsidRDefault="00AD7857" w:rsidP="00AD7857">
      <w:pPr>
        <w:spacing w:line="480" w:lineRule="auto"/>
        <w:rPr>
          <w:rFonts w:ascii="Garamond" w:hAnsi="Garamond" w:cs="Times New Roman"/>
        </w:rPr>
      </w:pPr>
    </w:p>
    <w:p w14:paraId="21055FF8" w14:textId="77777777" w:rsidR="00AD7857" w:rsidRPr="00813173" w:rsidRDefault="00AD7857" w:rsidP="00AD7857">
      <w:pPr>
        <w:spacing w:line="480" w:lineRule="auto"/>
        <w:rPr>
          <w:rFonts w:ascii="Garamond" w:hAnsi="Garamond" w:cs="Times New Roman"/>
        </w:rPr>
      </w:pPr>
    </w:p>
    <w:p w14:paraId="663F680F" w14:textId="77777777" w:rsidR="00AD7857" w:rsidRPr="00813173" w:rsidRDefault="00AD7857" w:rsidP="00AD7857">
      <w:pPr>
        <w:spacing w:line="480" w:lineRule="auto"/>
        <w:rPr>
          <w:rFonts w:ascii="Garamond" w:hAnsi="Garamond" w:cs="Times New Roman"/>
        </w:rPr>
      </w:pPr>
    </w:p>
    <w:p w14:paraId="298805C8" w14:textId="77777777" w:rsidR="00AD7857" w:rsidRDefault="00AD7857" w:rsidP="00AD7857">
      <w:pPr>
        <w:spacing w:line="480" w:lineRule="auto"/>
        <w:jc w:val="center"/>
        <w:rPr>
          <w:rFonts w:ascii="Garamond" w:hAnsi="Garamond" w:cs="Times New Roman"/>
          <w:sz w:val="36"/>
        </w:rPr>
      </w:pPr>
      <w:r>
        <w:rPr>
          <w:rFonts w:ascii="Garamond" w:hAnsi="Garamond" w:cs="Times New Roman"/>
          <w:sz w:val="36"/>
        </w:rPr>
        <w:t>How Policy Affects Movement: Population Mobility and the</w:t>
      </w:r>
      <w:r w:rsidRPr="00813173">
        <w:rPr>
          <w:rFonts w:ascii="Garamond" w:hAnsi="Garamond" w:cs="Times New Roman"/>
          <w:sz w:val="36"/>
        </w:rPr>
        <w:t xml:space="preserve"> Spread of C</w:t>
      </w:r>
      <w:r>
        <w:rPr>
          <w:rFonts w:ascii="Garamond" w:hAnsi="Garamond" w:cs="Times New Roman"/>
          <w:sz w:val="36"/>
        </w:rPr>
        <w:t>OVID</w:t>
      </w:r>
      <w:r w:rsidRPr="00813173">
        <w:rPr>
          <w:rFonts w:ascii="Garamond" w:hAnsi="Garamond" w:cs="Times New Roman"/>
          <w:sz w:val="36"/>
        </w:rPr>
        <w:t>-19 in Europe</w:t>
      </w:r>
    </w:p>
    <w:p w14:paraId="62528692" w14:textId="77777777" w:rsidR="00AD7857" w:rsidRPr="00813173" w:rsidRDefault="00AD7857" w:rsidP="00AD7857">
      <w:pPr>
        <w:spacing w:line="480" w:lineRule="auto"/>
        <w:rPr>
          <w:rFonts w:ascii="Garamond" w:hAnsi="Garamond" w:cs="Times New Roman"/>
        </w:rPr>
      </w:pPr>
    </w:p>
    <w:p w14:paraId="130182BB" w14:textId="77777777" w:rsidR="00AD7857" w:rsidRPr="00813173" w:rsidRDefault="00AD7857" w:rsidP="00AD7857">
      <w:pPr>
        <w:spacing w:line="480" w:lineRule="auto"/>
        <w:jc w:val="center"/>
        <w:rPr>
          <w:rFonts w:ascii="Garamond" w:hAnsi="Garamond" w:cs="Times New Roman"/>
        </w:rPr>
      </w:pPr>
      <w:r w:rsidRPr="00813173">
        <w:rPr>
          <w:rFonts w:ascii="Garamond" w:hAnsi="Garamond" w:cs="Times New Roman"/>
        </w:rPr>
        <w:t>Katie Baker</w:t>
      </w:r>
    </w:p>
    <w:p w14:paraId="3C0104CB" w14:textId="77777777" w:rsidR="00AD7857" w:rsidRPr="00813173" w:rsidRDefault="00AD7857" w:rsidP="00AD7857">
      <w:pPr>
        <w:spacing w:line="480" w:lineRule="auto"/>
        <w:rPr>
          <w:rFonts w:ascii="Garamond" w:hAnsi="Garamond" w:cs="Times New Roman"/>
        </w:rPr>
      </w:pPr>
    </w:p>
    <w:p w14:paraId="0E21B6D1" w14:textId="77777777" w:rsidR="00AD7857" w:rsidRDefault="00AD7857" w:rsidP="00AD7857">
      <w:pPr>
        <w:spacing w:line="480" w:lineRule="auto"/>
        <w:rPr>
          <w:rFonts w:ascii="Garamond" w:hAnsi="Garamond" w:cs="Times New Roman"/>
        </w:rPr>
      </w:pPr>
    </w:p>
    <w:p w14:paraId="490FB3B1" w14:textId="77777777" w:rsidR="00AD7857" w:rsidRPr="00813173" w:rsidRDefault="00AD7857" w:rsidP="00AD7857">
      <w:pPr>
        <w:spacing w:line="480" w:lineRule="auto"/>
        <w:rPr>
          <w:rFonts w:ascii="Garamond" w:hAnsi="Garamond" w:cs="Times New Roman"/>
        </w:rPr>
      </w:pPr>
    </w:p>
    <w:p w14:paraId="7A6D7406" w14:textId="77777777" w:rsidR="00AD7857" w:rsidRPr="00813173" w:rsidRDefault="00AD7857" w:rsidP="00AD7857">
      <w:pPr>
        <w:spacing w:line="480" w:lineRule="auto"/>
        <w:rPr>
          <w:rFonts w:ascii="Garamond" w:hAnsi="Garamond" w:cs="Times New Roman"/>
        </w:rPr>
      </w:pPr>
    </w:p>
    <w:p w14:paraId="54090B81" w14:textId="77777777" w:rsidR="00AD7857" w:rsidRPr="00C2470B" w:rsidRDefault="00AD7857" w:rsidP="00AD7857">
      <w:pPr>
        <w:spacing w:line="480" w:lineRule="auto"/>
        <w:rPr>
          <w:rFonts w:ascii="Garamond" w:hAnsi="Garamond" w:cs="Times New Roman"/>
          <w:sz w:val="32"/>
          <w:szCs w:val="32"/>
        </w:rPr>
      </w:pPr>
      <w:r w:rsidRPr="00C2470B">
        <w:rPr>
          <w:rFonts w:ascii="Garamond" w:hAnsi="Garamond" w:cs="Times New Roman"/>
          <w:b/>
          <w:bCs/>
          <w:sz w:val="32"/>
          <w:szCs w:val="32"/>
        </w:rPr>
        <w:t>Abstract</w:t>
      </w:r>
    </w:p>
    <w:p w14:paraId="7A0B417B" w14:textId="3BEA0A56" w:rsidR="00AD7857" w:rsidRPr="00813173" w:rsidRDefault="00AD7857" w:rsidP="00AD7857">
      <w:pPr>
        <w:spacing w:line="480" w:lineRule="auto"/>
        <w:rPr>
          <w:rFonts w:ascii="Garamond" w:hAnsi="Garamond" w:cs="Times New Roman"/>
        </w:rPr>
      </w:pPr>
      <w:r>
        <w:rPr>
          <w:rFonts w:ascii="Garamond" w:hAnsi="Garamond" w:cs="Times New Roman"/>
        </w:rPr>
        <w:t xml:space="preserve">Amid government lockdown policies and fear of contagion, populations have </w:t>
      </w:r>
      <w:r w:rsidR="005E23AB">
        <w:rPr>
          <w:rFonts w:ascii="Garamond" w:hAnsi="Garamond" w:cs="Times New Roman"/>
        </w:rPr>
        <w:t>adjusted</w:t>
      </w:r>
      <w:r>
        <w:rPr>
          <w:rFonts w:ascii="Garamond" w:hAnsi="Garamond" w:cs="Times New Roman"/>
        </w:rPr>
        <w:t xml:space="preserve"> their day-to-day schedules in response to the COVID-19 pandemic. We investigate the changes in mobility patterns of European populations using fixed effects regression models. We then show that new cases of the virus within </w:t>
      </w:r>
      <w:r w:rsidR="005E23AB">
        <w:rPr>
          <w:rFonts w:ascii="Garamond" w:hAnsi="Garamond" w:cs="Times New Roman"/>
        </w:rPr>
        <w:t xml:space="preserve">each </w:t>
      </w:r>
      <w:r>
        <w:rPr>
          <w:rFonts w:ascii="Garamond" w:hAnsi="Garamond" w:cs="Times New Roman"/>
        </w:rPr>
        <w:t xml:space="preserve">country and stringency of government policy response are key factors that influence mobility. We find that the marginal effect of policy stringency on mobility decreases over time, suggesting “quarantine fatigue” may limit the effectiveness of mobility-reducing policy to </w:t>
      </w:r>
      <w:r w:rsidR="007D5E10">
        <w:rPr>
          <w:rFonts w:ascii="Garamond" w:hAnsi="Garamond" w:cs="Times New Roman"/>
        </w:rPr>
        <w:t>about 140 days</w:t>
      </w:r>
      <w:r>
        <w:rPr>
          <w:rFonts w:ascii="Garamond" w:hAnsi="Garamond" w:cs="Times New Roman"/>
        </w:rPr>
        <w:t xml:space="preserve">. Similarly, we find the marginal effects of new cases of COVID-19 on mobility disappear within </w:t>
      </w:r>
      <w:r w:rsidR="007D5E10">
        <w:rPr>
          <w:rFonts w:ascii="Garamond" w:hAnsi="Garamond" w:cs="Times New Roman"/>
        </w:rPr>
        <w:t>80 days</w:t>
      </w:r>
      <w:r>
        <w:rPr>
          <w:rFonts w:ascii="Garamond" w:hAnsi="Garamond" w:cs="Times New Roman"/>
        </w:rPr>
        <w:t xml:space="preserve"> but begin to increase </w:t>
      </w:r>
      <w:r w:rsidR="005E23AB">
        <w:rPr>
          <w:rFonts w:ascii="Garamond" w:hAnsi="Garamond" w:cs="Times New Roman"/>
        </w:rPr>
        <w:t>again near</w:t>
      </w:r>
      <w:r w:rsidR="007D5E10">
        <w:rPr>
          <w:rFonts w:ascii="Garamond" w:hAnsi="Garamond" w:cs="Times New Roman"/>
        </w:rPr>
        <w:t xml:space="preserve"> the end of the observation period</w:t>
      </w:r>
      <w:r>
        <w:rPr>
          <w:rFonts w:ascii="Garamond" w:hAnsi="Garamond" w:cs="Times New Roman"/>
        </w:rPr>
        <w:t xml:space="preserve">. This suggests that rising numbers of new cases may have a “second wave” effect in reducing population mobility. </w:t>
      </w:r>
    </w:p>
    <w:p w14:paraId="1CDC01EC" w14:textId="77777777" w:rsidR="00AD7857" w:rsidRPr="00C2470B" w:rsidRDefault="00AD7857" w:rsidP="00AD7857">
      <w:pPr>
        <w:pStyle w:val="ListParagraph"/>
        <w:numPr>
          <w:ilvl w:val="0"/>
          <w:numId w:val="1"/>
        </w:numPr>
        <w:spacing w:line="480" w:lineRule="auto"/>
        <w:rPr>
          <w:rFonts w:ascii="Garamond" w:hAnsi="Garamond" w:cs="Times New Roman"/>
          <w:b/>
          <w:sz w:val="32"/>
          <w:szCs w:val="28"/>
        </w:rPr>
      </w:pPr>
      <w:r w:rsidRPr="00C2470B">
        <w:rPr>
          <w:rFonts w:ascii="Garamond" w:hAnsi="Garamond" w:cs="Times New Roman"/>
          <w:b/>
          <w:sz w:val="32"/>
          <w:szCs w:val="28"/>
        </w:rPr>
        <w:lastRenderedPageBreak/>
        <w:t xml:space="preserve">Introduction </w:t>
      </w:r>
    </w:p>
    <w:p w14:paraId="3F42867D" w14:textId="603BAA39" w:rsidR="00AD7857" w:rsidRDefault="00AD7857" w:rsidP="00650141">
      <w:pPr>
        <w:spacing w:line="480" w:lineRule="auto"/>
        <w:rPr>
          <w:rFonts w:ascii="Garamond" w:hAnsi="Garamond" w:cs="Times New Roman"/>
        </w:rPr>
      </w:pPr>
      <w:r w:rsidRPr="00813173">
        <w:rPr>
          <w:rFonts w:ascii="Garamond" w:hAnsi="Garamond" w:cs="Times New Roman"/>
        </w:rPr>
        <w:t xml:space="preserve">After the novel coronavirus began to spread rapidly outside the borders of China, the World Health Organization declared Europe the new epicenter of the virus. </w:t>
      </w:r>
      <w:r>
        <w:rPr>
          <w:rFonts w:ascii="Garamond" w:hAnsi="Garamond" w:cs="Times New Roman"/>
        </w:rPr>
        <w:t xml:space="preserve">As businesses and individuals scramble to define “the new normal” in the face of rapidly changing government response policy, the mobility patterns of country populations reflect profound changes in day-to-day movement. To curb the spread of the virus, governments have adopted various non-pharmaceutical interventions, or lockdown policy measures, such as banning public gatherings, closing schools, </w:t>
      </w:r>
      <w:r w:rsidR="0005759A">
        <w:rPr>
          <w:rFonts w:ascii="Garamond" w:hAnsi="Garamond" w:cs="Times New Roman"/>
        </w:rPr>
        <w:t xml:space="preserve">and </w:t>
      </w:r>
      <w:r>
        <w:rPr>
          <w:rFonts w:ascii="Garamond" w:hAnsi="Garamond" w:cs="Times New Roman"/>
        </w:rPr>
        <w:t>implementing travel restrictions.</w:t>
      </w:r>
      <w:r w:rsidR="007021A4">
        <w:rPr>
          <w:rFonts w:ascii="Garamond" w:hAnsi="Garamond" w:cs="Times New Roman"/>
        </w:rPr>
        <w:t xml:space="preserve"> A key problem for government policymakers is figuring out what effects implemented policies will have on the population.</w:t>
      </w:r>
      <w:r>
        <w:rPr>
          <w:rFonts w:ascii="Garamond" w:hAnsi="Garamond" w:cs="Times New Roman"/>
        </w:rPr>
        <w:t xml:space="preserve"> In this paper, we explore the factors that affect the public response to the COVID-19 threat by investigating </w:t>
      </w:r>
      <w:r w:rsidR="0005759A">
        <w:rPr>
          <w:rFonts w:ascii="Garamond" w:hAnsi="Garamond" w:cs="Times New Roman"/>
        </w:rPr>
        <w:t>the effects on mobility patterns of policy stringency and reported cases</w:t>
      </w:r>
      <w:r>
        <w:rPr>
          <w:rFonts w:ascii="Garamond" w:hAnsi="Garamond" w:cs="Times New Roman"/>
        </w:rPr>
        <w:t xml:space="preserve">. </w:t>
      </w:r>
    </w:p>
    <w:p w14:paraId="762E3562" w14:textId="2D59A505" w:rsidR="00AD7857" w:rsidRDefault="00AD7857" w:rsidP="00AD7857">
      <w:pPr>
        <w:spacing w:line="480" w:lineRule="auto"/>
        <w:ind w:firstLine="360"/>
        <w:rPr>
          <w:rFonts w:ascii="Garamond" w:hAnsi="Garamond" w:cs="Times New Roman"/>
        </w:rPr>
      </w:pPr>
      <w:r>
        <w:rPr>
          <w:rFonts w:ascii="Garamond" w:hAnsi="Garamond" w:cs="Times New Roman"/>
        </w:rPr>
        <w:t xml:space="preserve">There is a growing body of literature addressing the impact of population mobility on the spread of the virus. </w:t>
      </w:r>
      <w:proofErr w:type="spellStart"/>
      <w:r>
        <w:rPr>
          <w:rFonts w:ascii="Garamond" w:hAnsi="Garamond" w:cs="Times New Roman"/>
        </w:rPr>
        <w:t>Askitas</w:t>
      </w:r>
      <w:proofErr w:type="spellEnd"/>
      <w:r>
        <w:rPr>
          <w:rFonts w:ascii="Garamond" w:hAnsi="Garamond" w:cs="Times New Roman"/>
        </w:rPr>
        <w:t xml:space="preserve">, </w:t>
      </w:r>
      <w:proofErr w:type="spellStart"/>
      <w:r>
        <w:rPr>
          <w:rFonts w:ascii="Garamond" w:hAnsi="Garamond" w:cs="Times New Roman"/>
        </w:rPr>
        <w:t>Tatsiramos</w:t>
      </w:r>
      <w:proofErr w:type="spellEnd"/>
      <w:r>
        <w:rPr>
          <w:rFonts w:ascii="Garamond" w:hAnsi="Garamond" w:cs="Times New Roman"/>
        </w:rPr>
        <w:t xml:space="preserve">, and </w:t>
      </w:r>
      <w:proofErr w:type="spellStart"/>
      <w:r>
        <w:rPr>
          <w:rFonts w:ascii="Garamond" w:hAnsi="Garamond" w:cs="Times New Roman"/>
        </w:rPr>
        <w:t>Verheyden</w:t>
      </w:r>
      <w:proofErr w:type="spellEnd"/>
      <w:r>
        <w:rPr>
          <w:rFonts w:ascii="Garamond" w:hAnsi="Garamond" w:cs="Times New Roman"/>
        </w:rPr>
        <w:t xml:space="preserve"> examine the effects of different policy measures on population mobility and spread of COVID-19 in 135 countries. The authors find that lockdown policy measures tend to reduce time outside the home</w:t>
      </w:r>
      <w:r w:rsidR="0005759A">
        <w:rPr>
          <w:rFonts w:ascii="Garamond" w:hAnsi="Garamond" w:cs="Times New Roman"/>
        </w:rPr>
        <w:t xml:space="preserve"> </w:t>
      </w:r>
      <w:r>
        <w:rPr>
          <w:rFonts w:ascii="Garamond" w:hAnsi="Garamond" w:cs="Times New Roman"/>
        </w:rPr>
        <w:t xml:space="preserve">and </w:t>
      </w:r>
      <w:r w:rsidR="0005759A">
        <w:rPr>
          <w:rFonts w:ascii="Garamond" w:hAnsi="Garamond" w:cs="Times New Roman"/>
        </w:rPr>
        <w:t>contribute significantly to</w:t>
      </w:r>
      <w:r>
        <w:rPr>
          <w:rFonts w:ascii="Garamond" w:hAnsi="Garamond" w:cs="Times New Roman"/>
        </w:rPr>
        <w:t xml:space="preserve"> reducing </w:t>
      </w:r>
      <w:r w:rsidR="0005759A">
        <w:rPr>
          <w:rFonts w:ascii="Garamond" w:hAnsi="Garamond" w:cs="Times New Roman"/>
        </w:rPr>
        <w:t>the spread of the virus</w:t>
      </w:r>
      <w:r>
        <w:rPr>
          <w:rFonts w:ascii="Garamond" w:hAnsi="Garamond" w:cs="Times New Roman"/>
        </w:rPr>
        <w:t xml:space="preserve">. </w:t>
      </w:r>
      <w:r w:rsidR="0005759A">
        <w:rPr>
          <w:rFonts w:ascii="Garamond" w:hAnsi="Garamond" w:cs="Times New Roman"/>
        </w:rPr>
        <w:t>Government</w:t>
      </w:r>
      <w:r>
        <w:rPr>
          <w:rFonts w:ascii="Garamond" w:hAnsi="Garamond" w:cs="Times New Roman"/>
        </w:rPr>
        <w:t xml:space="preserve"> policies </w:t>
      </w:r>
      <w:r w:rsidR="0005759A">
        <w:rPr>
          <w:rFonts w:ascii="Garamond" w:hAnsi="Garamond" w:cs="Times New Roman"/>
        </w:rPr>
        <w:t>that</w:t>
      </w:r>
      <w:r>
        <w:rPr>
          <w:rFonts w:ascii="Garamond" w:hAnsi="Garamond" w:cs="Times New Roman"/>
        </w:rPr>
        <w:t xml:space="preserve"> cancel</w:t>
      </w:r>
      <w:r w:rsidR="0005759A">
        <w:rPr>
          <w:rFonts w:ascii="Garamond" w:hAnsi="Garamond" w:cs="Times New Roman"/>
        </w:rPr>
        <w:t>led</w:t>
      </w:r>
      <w:r>
        <w:rPr>
          <w:rFonts w:ascii="Garamond" w:hAnsi="Garamond" w:cs="Times New Roman"/>
        </w:rPr>
        <w:t xml:space="preserve"> public events and restrict</w:t>
      </w:r>
      <w:r w:rsidR="0005759A">
        <w:rPr>
          <w:rFonts w:ascii="Garamond" w:hAnsi="Garamond" w:cs="Times New Roman"/>
        </w:rPr>
        <w:t>ed</w:t>
      </w:r>
      <w:r>
        <w:rPr>
          <w:rFonts w:ascii="Garamond" w:hAnsi="Garamond" w:cs="Times New Roman"/>
        </w:rPr>
        <w:t xml:space="preserve"> public gatherings were found to be most effective in limiting the spread of the virus, followed by stay-at-home requirements. Each of these policies were found to have significant negative impacts on mobility outside the home (non-residential mobility), while leading to an increase in time spent in the home (residential mobility). The authors observe that some government restrictions, such as public event and transportation restrictions, have a diminishing effect on mobility over a 35-day observation period. We expand the window of observation beyond 35 days to investigate the long-term effects of policy measures on mobility. </w:t>
      </w:r>
      <w:proofErr w:type="spellStart"/>
      <w:r>
        <w:rPr>
          <w:rFonts w:ascii="Garamond" w:hAnsi="Garamond" w:cs="Times New Roman"/>
        </w:rPr>
        <w:t>Askitas</w:t>
      </w:r>
      <w:proofErr w:type="spellEnd"/>
      <w:r>
        <w:rPr>
          <w:rFonts w:ascii="Garamond" w:hAnsi="Garamond" w:cs="Times New Roman"/>
        </w:rPr>
        <w:t xml:space="preserve">, </w:t>
      </w:r>
      <w:proofErr w:type="spellStart"/>
      <w:r>
        <w:rPr>
          <w:rFonts w:ascii="Garamond" w:hAnsi="Garamond" w:cs="Times New Roman"/>
        </w:rPr>
        <w:t>Tatsiramos</w:t>
      </w:r>
      <w:proofErr w:type="spellEnd"/>
      <w:r>
        <w:rPr>
          <w:rFonts w:ascii="Garamond" w:hAnsi="Garamond" w:cs="Times New Roman"/>
        </w:rPr>
        <w:t xml:space="preserve"> and </w:t>
      </w:r>
      <w:proofErr w:type="spellStart"/>
      <w:r>
        <w:rPr>
          <w:rFonts w:ascii="Garamond" w:hAnsi="Garamond" w:cs="Times New Roman"/>
        </w:rPr>
        <w:t>Verheyden</w:t>
      </w:r>
      <w:proofErr w:type="spellEnd"/>
      <w:r>
        <w:rPr>
          <w:rFonts w:ascii="Garamond" w:hAnsi="Garamond" w:cs="Times New Roman"/>
        </w:rPr>
        <w:t xml:space="preserve"> suggest that mobility data can be interpreted “as a measure of compliance to the policies introduced” and as a </w:t>
      </w:r>
      <w:r>
        <w:rPr>
          <w:rFonts w:ascii="Garamond" w:hAnsi="Garamond" w:cs="Times New Roman"/>
        </w:rPr>
        <w:lastRenderedPageBreak/>
        <w:t xml:space="preserve">“mediator between policies and the spread of disease.” We build upon this work by investigating the relationship between policies and mobility in our fixed effect regression models. </w:t>
      </w:r>
    </w:p>
    <w:p w14:paraId="65C2F7D8" w14:textId="659CAD9B" w:rsidR="00AD7857" w:rsidRDefault="00AD7857" w:rsidP="00AD7857">
      <w:pPr>
        <w:spacing w:line="480" w:lineRule="auto"/>
        <w:ind w:firstLine="360"/>
        <w:rPr>
          <w:rFonts w:ascii="Garamond" w:hAnsi="Garamond" w:cs="Times New Roman"/>
        </w:rPr>
      </w:pPr>
      <w:proofErr w:type="spellStart"/>
      <w:r>
        <w:rPr>
          <w:rFonts w:ascii="Garamond" w:hAnsi="Garamond" w:cs="Times New Roman"/>
        </w:rPr>
        <w:t>Badr</w:t>
      </w:r>
      <w:proofErr w:type="spellEnd"/>
      <w:r>
        <w:rPr>
          <w:rFonts w:ascii="Garamond" w:hAnsi="Garamond" w:cs="Times New Roman"/>
        </w:rPr>
        <w:t xml:space="preserve">, Du and Marshall author a paper which examines the second part of the relationship: the link between mobility and the spread of disease. Using cell phone mobility data from the United States, </w:t>
      </w:r>
      <w:r w:rsidR="005E23AB">
        <w:rPr>
          <w:rFonts w:ascii="Garamond" w:hAnsi="Garamond" w:cs="Times New Roman"/>
        </w:rPr>
        <w:t>their</w:t>
      </w:r>
      <w:r>
        <w:rPr>
          <w:rFonts w:ascii="Garamond" w:hAnsi="Garamond" w:cs="Times New Roman"/>
        </w:rPr>
        <w:t xml:space="preserve"> paper finds results in line with the existing research</w:t>
      </w:r>
      <w:r w:rsidR="005E23AB">
        <w:rPr>
          <w:rFonts w:ascii="Garamond" w:hAnsi="Garamond" w:cs="Times New Roman"/>
        </w:rPr>
        <w:t>,</w:t>
      </w:r>
      <w:r>
        <w:rPr>
          <w:rFonts w:ascii="Garamond" w:hAnsi="Garamond" w:cs="Times New Roman"/>
        </w:rPr>
        <w:t xml:space="preserve"> concluding that “decreased mobility has a significant, positive relationship with reduced case growth.” These papers represent a growing literature establishing the relationships between policy stringency, mobility, and cases. </w:t>
      </w:r>
    </w:p>
    <w:p w14:paraId="03AB146E" w14:textId="345F7EF0" w:rsidR="00AD7857" w:rsidRPr="00813173" w:rsidRDefault="00AD7857" w:rsidP="00AD7857">
      <w:pPr>
        <w:spacing w:line="480" w:lineRule="auto"/>
        <w:ind w:firstLine="360"/>
        <w:rPr>
          <w:rFonts w:ascii="Garamond" w:hAnsi="Garamond" w:cs="Times New Roman"/>
        </w:rPr>
      </w:pPr>
      <w:r>
        <w:rPr>
          <w:rFonts w:ascii="Garamond" w:hAnsi="Garamond" w:cs="Times New Roman"/>
        </w:rPr>
        <w:t>This paper aims to address the long-term effects of policy stringency and case counts on population mobility. Namely, we attempt to answer the questions: (</w:t>
      </w:r>
      <w:proofErr w:type="spellStart"/>
      <w:r>
        <w:rPr>
          <w:rFonts w:ascii="Garamond" w:hAnsi="Garamond" w:cs="Times New Roman"/>
        </w:rPr>
        <w:t>i</w:t>
      </w:r>
      <w:proofErr w:type="spellEnd"/>
      <w:r>
        <w:rPr>
          <w:rFonts w:ascii="Garamond" w:hAnsi="Garamond" w:cs="Times New Roman"/>
        </w:rPr>
        <w:t xml:space="preserve">) how does the stringency of government policy response to the COVID-19 threat affect population mobility over time? (ii) how does mobility respond to the change in </w:t>
      </w:r>
      <w:r w:rsidR="005414B6">
        <w:rPr>
          <w:rFonts w:ascii="Garamond" w:hAnsi="Garamond" w:cs="Times New Roman"/>
        </w:rPr>
        <w:t>reported cases</w:t>
      </w:r>
      <w:r>
        <w:rPr>
          <w:rFonts w:ascii="Garamond" w:hAnsi="Garamond" w:cs="Times New Roman"/>
        </w:rPr>
        <w:t xml:space="preserve"> over time? To address question (</w:t>
      </w:r>
      <w:proofErr w:type="spellStart"/>
      <w:r>
        <w:rPr>
          <w:rFonts w:ascii="Garamond" w:hAnsi="Garamond" w:cs="Times New Roman"/>
        </w:rPr>
        <w:t>i</w:t>
      </w:r>
      <w:proofErr w:type="spellEnd"/>
      <w:r>
        <w:rPr>
          <w:rFonts w:ascii="Garamond" w:hAnsi="Garamond" w:cs="Times New Roman"/>
        </w:rPr>
        <w:t xml:space="preserve">) we use a panel dataset </w:t>
      </w:r>
      <w:r w:rsidRPr="00637A19">
        <w:rPr>
          <w:rFonts w:ascii="Garamond" w:hAnsi="Garamond" w:cs="Times New Roman"/>
        </w:rPr>
        <w:t xml:space="preserve">of </w:t>
      </w:r>
      <w:r w:rsidR="00285487" w:rsidRPr="00637A19">
        <w:rPr>
          <w:rFonts w:ascii="Garamond" w:hAnsi="Garamond" w:cs="Times New Roman"/>
        </w:rPr>
        <w:t>36</w:t>
      </w:r>
      <w:r w:rsidRPr="00637A19">
        <w:rPr>
          <w:rFonts w:ascii="Garamond" w:hAnsi="Garamond" w:cs="Times New Roman"/>
        </w:rPr>
        <w:t xml:space="preserve"> c</w:t>
      </w:r>
      <w:r>
        <w:rPr>
          <w:rFonts w:ascii="Garamond" w:hAnsi="Garamond" w:cs="Times New Roman"/>
        </w:rPr>
        <w:t xml:space="preserve">ountries to construct a fixed effects model to estimate the impact of policy stringency on population mobility over time, while controlling for new cases per million. We hypothesize that the relative impact of policy stringency on mobility will </w:t>
      </w:r>
      <w:r w:rsidR="0005759A">
        <w:rPr>
          <w:rFonts w:ascii="Garamond" w:hAnsi="Garamond" w:cs="Times New Roman"/>
        </w:rPr>
        <w:t>lessen</w:t>
      </w:r>
      <w:r>
        <w:rPr>
          <w:rFonts w:ascii="Garamond" w:hAnsi="Garamond" w:cs="Times New Roman"/>
        </w:rPr>
        <w:t xml:space="preserve"> over time, as populations may experience “quarantine fatigue” that would cause adherence to lockdown policy guidelines to </w:t>
      </w:r>
      <w:r w:rsidR="0005759A">
        <w:rPr>
          <w:rFonts w:ascii="Garamond" w:hAnsi="Garamond" w:cs="Times New Roman"/>
        </w:rPr>
        <w:t>decline over time</w:t>
      </w:r>
      <w:r>
        <w:rPr>
          <w:rFonts w:ascii="Garamond" w:hAnsi="Garamond" w:cs="Times New Roman"/>
        </w:rPr>
        <w:t xml:space="preserve">. To address question (ii) we </w:t>
      </w:r>
      <w:r w:rsidR="005E23AB">
        <w:rPr>
          <w:rFonts w:ascii="Garamond" w:hAnsi="Garamond" w:cs="Times New Roman"/>
        </w:rPr>
        <w:t>tweak</w:t>
      </w:r>
      <w:r>
        <w:rPr>
          <w:rFonts w:ascii="Garamond" w:hAnsi="Garamond" w:cs="Times New Roman"/>
        </w:rPr>
        <w:t xml:space="preserve"> </w:t>
      </w:r>
      <w:r w:rsidR="005E23AB">
        <w:rPr>
          <w:rFonts w:ascii="Garamond" w:hAnsi="Garamond" w:cs="Times New Roman"/>
        </w:rPr>
        <w:t>the first</w:t>
      </w:r>
      <w:r>
        <w:rPr>
          <w:rFonts w:ascii="Garamond" w:hAnsi="Garamond" w:cs="Times New Roman"/>
        </w:rPr>
        <w:t xml:space="preserve"> fixed effects model to estimate the impact of new cases per million on mobility while controlling for policy stringency. We hypothesize that higher new case </w:t>
      </w:r>
      <w:r w:rsidR="005414B6">
        <w:rPr>
          <w:rFonts w:ascii="Garamond" w:hAnsi="Garamond" w:cs="Times New Roman"/>
        </w:rPr>
        <w:t>numbers</w:t>
      </w:r>
      <w:r>
        <w:rPr>
          <w:rFonts w:ascii="Garamond" w:hAnsi="Garamond" w:cs="Times New Roman"/>
        </w:rPr>
        <w:t xml:space="preserve"> will lead to mobility decreases, as they may generate a more immediate perceived threat that should </w:t>
      </w:r>
      <w:r w:rsidR="0005759A">
        <w:rPr>
          <w:rFonts w:ascii="Garamond" w:hAnsi="Garamond" w:cs="Times New Roman"/>
        </w:rPr>
        <w:t>prompt</w:t>
      </w:r>
      <w:r>
        <w:rPr>
          <w:rFonts w:ascii="Garamond" w:hAnsi="Garamond" w:cs="Times New Roman"/>
        </w:rPr>
        <w:t xml:space="preserve"> stricter adherence to lockdown policies. However, a decrease in population mobility reduces the number of potential COVID-19-spreading interactions among the population, which implies that mobility patterns are jointly determined with the number of COVID-19 cases. </w:t>
      </w:r>
    </w:p>
    <w:p w14:paraId="6532BC93" w14:textId="2FFCD078" w:rsidR="00AD7857" w:rsidRPr="00813173" w:rsidRDefault="00AD7857" w:rsidP="007021A4">
      <w:pPr>
        <w:spacing w:line="480" w:lineRule="auto"/>
        <w:ind w:firstLine="360"/>
        <w:rPr>
          <w:rFonts w:ascii="Garamond" w:hAnsi="Garamond" w:cs="Times New Roman"/>
        </w:rPr>
      </w:pPr>
      <w:r w:rsidRPr="00813173">
        <w:rPr>
          <w:rFonts w:ascii="Garamond" w:hAnsi="Garamond" w:cs="Times New Roman"/>
        </w:rPr>
        <w:t>This paper builds the aforementioned models using reliable datasets from Our World in Data (OWID) containing country-wide information on COVID-19 cases, deaths, testing,</w:t>
      </w:r>
      <w:r>
        <w:rPr>
          <w:rFonts w:ascii="Garamond" w:hAnsi="Garamond" w:cs="Times New Roman"/>
        </w:rPr>
        <w:t xml:space="preserve"> </w:t>
      </w:r>
      <w:r w:rsidRPr="00813173">
        <w:rPr>
          <w:rFonts w:ascii="Garamond" w:hAnsi="Garamond" w:cs="Times New Roman"/>
        </w:rPr>
        <w:t xml:space="preserve">and population </w:t>
      </w:r>
      <w:r w:rsidRPr="00813173">
        <w:rPr>
          <w:rFonts w:ascii="Garamond" w:hAnsi="Garamond" w:cs="Times New Roman"/>
        </w:rPr>
        <w:lastRenderedPageBreak/>
        <w:t>distribution statistics.</w:t>
      </w:r>
      <w:r>
        <w:rPr>
          <w:rFonts w:ascii="Garamond" w:hAnsi="Garamond" w:cs="Times New Roman"/>
        </w:rPr>
        <w:t xml:space="preserve"> The OWID dataset includes a measure for policy stringency determined by t</w:t>
      </w:r>
      <w:r w:rsidRPr="002161DE">
        <w:rPr>
          <w:rFonts w:ascii="Garamond" w:hAnsi="Garamond" w:cs="Times New Roman"/>
        </w:rPr>
        <w:t>he Oxford COVID-19 Government Response Tracker</w:t>
      </w:r>
      <w:r>
        <w:rPr>
          <w:rFonts w:ascii="Garamond" w:hAnsi="Garamond" w:cs="Times New Roman"/>
        </w:rPr>
        <w:t>.</w:t>
      </w:r>
      <w:r w:rsidRPr="002161DE">
        <w:rPr>
          <w:rFonts w:ascii="Garamond" w:hAnsi="Garamond" w:cs="Times New Roman"/>
        </w:rPr>
        <w:t xml:space="preserve"> </w:t>
      </w:r>
      <w:r>
        <w:rPr>
          <w:rFonts w:ascii="Garamond" w:hAnsi="Garamond" w:cs="Times New Roman"/>
        </w:rPr>
        <w:t xml:space="preserve">We obtain estimates for population mobility in each country from </w:t>
      </w:r>
      <w:r w:rsidRPr="00813173">
        <w:rPr>
          <w:rFonts w:ascii="Garamond" w:hAnsi="Garamond" w:cs="Times New Roman"/>
        </w:rPr>
        <w:t>Google’s COVID-19 Community Mobility Report</w:t>
      </w:r>
      <w:r>
        <w:rPr>
          <w:rFonts w:ascii="Garamond" w:hAnsi="Garamond" w:cs="Times New Roman"/>
        </w:rPr>
        <w:t>.</w:t>
      </w:r>
      <w:r w:rsidRPr="00813173">
        <w:rPr>
          <w:rFonts w:ascii="Garamond" w:hAnsi="Garamond" w:cs="Times New Roman"/>
        </w:rPr>
        <w:t xml:space="preserve"> </w:t>
      </w:r>
    </w:p>
    <w:p w14:paraId="66792DC4" w14:textId="77777777" w:rsidR="00AD7857" w:rsidRPr="00813173" w:rsidRDefault="00AD7857" w:rsidP="00AD7857">
      <w:pPr>
        <w:spacing w:line="480" w:lineRule="auto"/>
        <w:ind w:firstLine="720"/>
        <w:rPr>
          <w:rFonts w:ascii="Garamond" w:hAnsi="Garamond" w:cs="Times New Roman"/>
        </w:rPr>
      </w:pPr>
      <w:r w:rsidRPr="00813173">
        <w:rPr>
          <w:rFonts w:ascii="Garamond" w:hAnsi="Garamond" w:cs="Times New Roman"/>
        </w:rPr>
        <w:t xml:space="preserve">The remainder of the paper adheres to the following structure. Section 2 describes the datasets used for </w:t>
      </w:r>
      <w:r>
        <w:rPr>
          <w:rFonts w:ascii="Garamond" w:hAnsi="Garamond" w:cs="Times New Roman"/>
        </w:rPr>
        <w:t>the</w:t>
      </w:r>
      <w:r w:rsidRPr="00813173">
        <w:rPr>
          <w:rFonts w:ascii="Garamond" w:hAnsi="Garamond" w:cs="Times New Roman"/>
        </w:rPr>
        <w:t xml:space="preserve"> analysis. Section 3 details the regressions estimated to </w:t>
      </w:r>
      <w:r>
        <w:rPr>
          <w:rFonts w:ascii="Garamond" w:hAnsi="Garamond" w:cs="Times New Roman"/>
        </w:rPr>
        <w:t>determine the effect of population mobility on viral spread</w:t>
      </w:r>
      <w:r w:rsidRPr="00813173">
        <w:rPr>
          <w:rFonts w:ascii="Garamond" w:hAnsi="Garamond" w:cs="Times New Roman"/>
        </w:rPr>
        <w:t xml:space="preserve">. In Section 4, </w:t>
      </w:r>
      <w:r>
        <w:rPr>
          <w:rFonts w:ascii="Garamond" w:hAnsi="Garamond" w:cs="Times New Roman"/>
        </w:rPr>
        <w:t>we</w:t>
      </w:r>
      <w:r w:rsidRPr="00813173">
        <w:rPr>
          <w:rFonts w:ascii="Garamond" w:hAnsi="Garamond" w:cs="Times New Roman"/>
        </w:rPr>
        <w:t xml:space="preserve"> describe the findings of the study, </w:t>
      </w:r>
      <w:r>
        <w:rPr>
          <w:rFonts w:ascii="Garamond" w:hAnsi="Garamond" w:cs="Times New Roman"/>
        </w:rPr>
        <w:t>and concluding remark</w:t>
      </w:r>
      <w:r w:rsidRPr="00813173">
        <w:rPr>
          <w:rFonts w:ascii="Garamond" w:hAnsi="Garamond" w:cs="Times New Roman"/>
        </w:rPr>
        <w:t xml:space="preserve">s </w:t>
      </w:r>
      <w:r>
        <w:rPr>
          <w:rFonts w:ascii="Garamond" w:hAnsi="Garamond" w:cs="Times New Roman"/>
        </w:rPr>
        <w:t xml:space="preserve">are presented to the reader </w:t>
      </w:r>
      <w:r w:rsidRPr="00813173">
        <w:rPr>
          <w:rFonts w:ascii="Garamond" w:hAnsi="Garamond" w:cs="Times New Roman"/>
        </w:rPr>
        <w:t xml:space="preserve">in Section 5. </w:t>
      </w:r>
    </w:p>
    <w:p w14:paraId="51DD944A" w14:textId="77777777" w:rsidR="00AD7857" w:rsidRPr="00813173" w:rsidRDefault="00AD7857" w:rsidP="00AD7857">
      <w:pPr>
        <w:spacing w:line="480" w:lineRule="auto"/>
        <w:rPr>
          <w:rFonts w:ascii="Garamond" w:hAnsi="Garamond" w:cs="Times New Roman"/>
        </w:rPr>
      </w:pPr>
    </w:p>
    <w:p w14:paraId="3C8EBDCA" w14:textId="77777777" w:rsidR="00AD7857" w:rsidRPr="00C2470B" w:rsidRDefault="00AD7857" w:rsidP="00AD7857">
      <w:pPr>
        <w:pStyle w:val="ListParagraph"/>
        <w:numPr>
          <w:ilvl w:val="0"/>
          <w:numId w:val="1"/>
        </w:numPr>
        <w:spacing w:line="480" w:lineRule="auto"/>
        <w:rPr>
          <w:rFonts w:ascii="Garamond" w:hAnsi="Garamond" w:cs="Times New Roman"/>
          <w:b/>
          <w:sz w:val="32"/>
          <w:szCs w:val="28"/>
        </w:rPr>
      </w:pPr>
      <w:r w:rsidRPr="00C2470B">
        <w:rPr>
          <w:rFonts w:ascii="Garamond" w:hAnsi="Garamond" w:cs="Times New Roman"/>
          <w:b/>
          <w:sz w:val="32"/>
          <w:szCs w:val="28"/>
        </w:rPr>
        <w:t>Data</w:t>
      </w:r>
    </w:p>
    <w:p w14:paraId="4B13BF3B" w14:textId="41CC3B3C" w:rsidR="00AD7857" w:rsidRPr="00813173" w:rsidRDefault="00AD7857" w:rsidP="00650141">
      <w:pPr>
        <w:spacing w:line="480" w:lineRule="auto"/>
        <w:rPr>
          <w:rFonts w:ascii="Garamond" w:hAnsi="Garamond" w:cs="Times New Roman"/>
        </w:rPr>
      </w:pPr>
      <w:r w:rsidRPr="00813173">
        <w:rPr>
          <w:rFonts w:ascii="Garamond" w:hAnsi="Garamond" w:cs="Times New Roman"/>
        </w:rPr>
        <w:t xml:space="preserve">For this study, </w:t>
      </w:r>
      <w:r>
        <w:rPr>
          <w:rFonts w:ascii="Garamond" w:hAnsi="Garamond" w:cs="Times New Roman"/>
        </w:rPr>
        <w:t>data were compiled from various sources on the daily number of infections, population mobility patterns, and the stringency of government policy response</w:t>
      </w:r>
      <w:r w:rsidR="005E23AB">
        <w:rPr>
          <w:rFonts w:ascii="Garamond" w:hAnsi="Garamond" w:cs="Times New Roman"/>
        </w:rPr>
        <w:t xml:space="preserve"> to the pandemic</w:t>
      </w:r>
      <w:r>
        <w:rPr>
          <w:rFonts w:ascii="Garamond" w:hAnsi="Garamond" w:cs="Times New Roman"/>
        </w:rPr>
        <w:t xml:space="preserve">. </w:t>
      </w:r>
      <w:r w:rsidR="00BB0CFC">
        <w:rPr>
          <w:rFonts w:ascii="Garamond" w:hAnsi="Garamond" w:cs="Times New Roman"/>
        </w:rPr>
        <w:t xml:space="preserve">The data were combined into one panel dataset </w:t>
      </w:r>
      <w:r w:rsidR="005D7055">
        <w:rPr>
          <w:rFonts w:ascii="Garamond" w:hAnsi="Garamond" w:cs="Times New Roman"/>
        </w:rPr>
        <w:t>with 36 countries (listed in the appendix) over the period from February 15</w:t>
      </w:r>
      <w:r w:rsidR="005D7055" w:rsidRPr="005D7055">
        <w:rPr>
          <w:rFonts w:ascii="Garamond" w:hAnsi="Garamond" w:cs="Times New Roman"/>
          <w:vertAlign w:val="superscript"/>
        </w:rPr>
        <w:t>th</w:t>
      </w:r>
      <w:r w:rsidR="005D7055">
        <w:rPr>
          <w:rFonts w:ascii="Garamond" w:hAnsi="Garamond" w:cs="Times New Roman"/>
        </w:rPr>
        <w:t xml:space="preserve"> to August 14</w:t>
      </w:r>
      <w:r w:rsidR="005D7055" w:rsidRPr="005D7055">
        <w:rPr>
          <w:rFonts w:ascii="Garamond" w:hAnsi="Garamond" w:cs="Times New Roman"/>
          <w:vertAlign w:val="superscript"/>
        </w:rPr>
        <w:t>th</w:t>
      </w:r>
      <w:r w:rsidR="005D7055">
        <w:rPr>
          <w:rFonts w:ascii="Garamond" w:hAnsi="Garamond" w:cs="Times New Roman"/>
        </w:rPr>
        <w:t xml:space="preserve"> of the year 2020.  </w:t>
      </w:r>
      <w:r>
        <w:rPr>
          <w:rFonts w:ascii="Garamond" w:hAnsi="Garamond" w:cs="Times New Roman"/>
        </w:rPr>
        <w:t>A complete list of variables and descriptions is outlined in Table 1</w:t>
      </w:r>
      <w:r w:rsidR="00145CBF">
        <w:rPr>
          <w:rFonts w:ascii="Garamond" w:hAnsi="Garamond" w:cs="Times New Roman"/>
        </w:rPr>
        <w:t>, with accompanying summary statistics in Table 2</w:t>
      </w:r>
      <w:r>
        <w:rPr>
          <w:rFonts w:ascii="Garamond" w:hAnsi="Garamond" w:cs="Times New Roman"/>
        </w:rPr>
        <w:t xml:space="preserve">. </w:t>
      </w:r>
    </w:p>
    <w:p w14:paraId="4F9C13E6" w14:textId="77777777" w:rsidR="00AD7857" w:rsidRPr="00813173" w:rsidRDefault="00AD7857" w:rsidP="00AD7857">
      <w:pPr>
        <w:spacing w:line="480" w:lineRule="auto"/>
        <w:ind w:firstLine="360"/>
        <w:rPr>
          <w:rFonts w:ascii="Garamond" w:hAnsi="Garamond" w:cs="Times New Roman"/>
        </w:rPr>
      </w:pPr>
    </w:p>
    <w:p w14:paraId="31B433C0" w14:textId="77777777" w:rsidR="00AD7857" w:rsidRPr="00813173" w:rsidRDefault="00AD7857" w:rsidP="00AD7857">
      <w:pPr>
        <w:spacing w:line="480" w:lineRule="auto"/>
        <w:ind w:left="360"/>
        <w:rPr>
          <w:rFonts w:ascii="Garamond" w:hAnsi="Garamond" w:cs="Times New Roman"/>
          <w:b/>
        </w:rPr>
      </w:pPr>
      <w:r w:rsidRPr="00813173">
        <w:rPr>
          <w:rFonts w:ascii="Garamond" w:hAnsi="Garamond" w:cs="Times New Roman"/>
          <w:b/>
        </w:rPr>
        <w:t>2.1</w:t>
      </w:r>
      <w:r w:rsidRPr="00813173">
        <w:rPr>
          <w:rFonts w:ascii="Garamond" w:hAnsi="Garamond" w:cs="Times New Roman"/>
        </w:rPr>
        <w:t xml:space="preserve"> </w:t>
      </w:r>
      <w:r w:rsidRPr="00813173">
        <w:rPr>
          <w:rFonts w:ascii="Garamond" w:hAnsi="Garamond" w:cs="Times New Roman"/>
          <w:b/>
        </w:rPr>
        <w:t>COVID-19 Data</w:t>
      </w:r>
    </w:p>
    <w:p w14:paraId="69321461" w14:textId="750EC0E6" w:rsidR="00AD7857" w:rsidRPr="00813173" w:rsidRDefault="00AD7857" w:rsidP="00650141">
      <w:pPr>
        <w:spacing w:line="480" w:lineRule="auto"/>
        <w:rPr>
          <w:rFonts w:ascii="Garamond" w:hAnsi="Garamond" w:cs="Times New Roman"/>
        </w:rPr>
      </w:pPr>
      <w:r w:rsidRPr="00813173">
        <w:rPr>
          <w:rFonts w:ascii="Garamond" w:hAnsi="Garamond" w:cs="Times New Roman"/>
        </w:rPr>
        <w:t xml:space="preserve">For </w:t>
      </w:r>
      <w:r w:rsidR="005E23AB">
        <w:rPr>
          <w:rFonts w:ascii="Garamond" w:hAnsi="Garamond" w:cs="Times New Roman"/>
        </w:rPr>
        <w:t>our</w:t>
      </w:r>
      <w:r w:rsidRPr="00813173">
        <w:rPr>
          <w:rFonts w:ascii="Garamond" w:hAnsi="Garamond" w:cs="Times New Roman"/>
        </w:rPr>
        <w:t xml:space="preserve"> cross-country analysis, </w:t>
      </w:r>
      <w:r>
        <w:rPr>
          <w:rFonts w:ascii="Garamond" w:hAnsi="Garamond" w:cs="Times New Roman"/>
        </w:rPr>
        <w:t>we</w:t>
      </w:r>
      <w:r w:rsidRPr="00813173">
        <w:rPr>
          <w:rFonts w:ascii="Garamond" w:hAnsi="Garamond" w:cs="Times New Roman"/>
        </w:rPr>
        <w:t xml:space="preserve"> collected data on total and daily confirmed cases from the Our World in Data (OWID) COVID-19 Dataset. The OWID COVID-19 Dataset combines virus statistics from the European Center for Disease Prevention and Control with data collected from official sources including governments, health ministries and centers for disease control. Drawbacks to using the number of confirmed cases include known test kit shortages that have led many countries to restrict testing to cases with stronger symptoms. Therefore, some of the early counts of confirmed cases may underrepresent the true number of cases, and the testing rates are not identical across countries. </w:t>
      </w:r>
      <w:r w:rsidR="00D948AB">
        <w:rPr>
          <w:rFonts w:ascii="Garamond" w:hAnsi="Garamond" w:cs="Times New Roman"/>
        </w:rPr>
        <w:t xml:space="preserve">Since our model estimates the effects of new case numbers on mobility, which is a </w:t>
      </w:r>
      <w:r w:rsidR="00D948AB">
        <w:rPr>
          <w:rFonts w:ascii="Garamond" w:hAnsi="Garamond" w:cs="Times New Roman"/>
        </w:rPr>
        <w:lastRenderedPageBreak/>
        <w:t>human behavioral response determined by perceived threat, we assume that the public’s perception of the pandemic is based on reported case numbers and not actual case numbers. This assumption allows us to</w:t>
      </w:r>
      <w:r w:rsidR="00701F03">
        <w:rPr>
          <w:rFonts w:ascii="Garamond" w:hAnsi="Garamond" w:cs="Times New Roman"/>
        </w:rPr>
        <w:t xml:space="preserve"> essentially ignore the inconsistencies in testing and reporting among countries.</w:t>
      </w:r>
      <w:r w:rsidR="00A70486">
        <w:rPr>
          <w:rFonts w:ascii="Garamond" w:hAnsi="Garamond" w:cs="Times New Roman"/>
        </w:rPr>
        <w:t xml:space="preserve"> A graph showing the trends in new cases of COVID-19 per million is detailed in Figure 2. The figure shows a rise in new cases per million that peaks around 45 days elapsed since the start of the epidemic</w:t>
      </w:r>
      <w:r w:rsidR="005E23AB">
        <w:rPr>
          <w:rFonts w:ascii="Garamond" w:hAnsi="Garamond" w:cs="Times New Roman"/>
        </w:rPr>
        <w:t xml:space="preserve"> and </w:t>
      </w:r>
      <w:r w:rsidR="00A70486">
        <w:rPr>
          <w:rFonts w:ascii="Garamond" w:hAnsi="Garamond" w:cs="Times New Roman"/>
        </w:rPr>
        <w:t xml:space="preserve">a subsequent fall </w:t>
      </w:r>
      <w:r w:rsidR="005E23AB">
        <w:rPr>
          <w:rFonts w:ascii="Garamond" w:hAnsi="Garamond" w:cs="Times New Roman"/>
        </w:rPr>
        <w:t>cases</w:t>
      </w:r>
      <w:r w:rsidR="00A70486">
        <w:rPr>
          <w:rFonts w:ascii="Garamond" w:hAnsi="Garamond" w:cs="Times New Roman"/>
        </w:rPr>
        <w:t xml:space="preserve"> bottoms out around 100 elapsed days and begins to rise again after that. This indicates that overall, European countries experienced </w:t>
      </w:r>
      <w:r w:rsidR="009F7410">
        <w:rPr>
          <w:rFonts w:ascii="Garamond" w:hAnsi="Garamond" w:cs="Times New Roman"/>
        </w:rPr>
        <w:t xml:space="preserve">two waves of new </w:t>
      </w:r>
      <w:r w:rsidR="005414B6">
        <w:rPr>
          <w:rFonts w:ascii="Garamond" w:hAnsi="Garamond" w:cs="Times New Roman"/>
        </w:rPr>
        <w:t>reported cases of COVID-19</w:t>
      </w:r>
      <w:r w:rsidR="009F7410">
        <w:rPr>
          <w:rFonts w:ascii="Garamond" w:hAnsi="Garamond" w:cs="Times New Roman"/>
        </w:rPr>
        <w:t xml:space="preserve"> within the time period of our sample.</w:t>
      </w:r>
    </w:p>
    <w:p w14:paraId="4144BFF4" w14:textId="77777777" w:rsidR="00AD7857" w:rsidRPr="00813173" w:rsidRDefault="00AD7857" w:rsidP="00AD7857">
      <w:pPr>
        <w:spacing w:line="480" w:lineRule="auto"/>
        <w:rPr>
          <w:rFonts w:ascii="Garamond" w:hAnsi="Garamond" w:cs="Times New Roman"/>
        </w:rPr>
      </w:pPr>
    </w:p>
    <w:p w14:paraId="0584D101" w14:textId="77777777" w:rsidR="00AD7857" w:rsidRPr="00813173" w:rsidRDefault="00AD7857" w:rsidP="00AD7857">
      <w:pPr>
        <w:spacing w:line="480" w:lineRule="auto"/>
        <w:ind w:firstLine="360"/>
        <w:rPr>
          <w:rFonts w:ascii="Garamond" w:hAnsi="Garamond" w:cs="Times New Roman"/>
          <w:b/>
        </w:rPr>
      </w:pPr>
      <w:r w:rsidRPr="00813173">
        <w:rPr>
          <w:rFonts w:ascii="Garamond" w:hAnsi="Garamond" w:cs="Times New Roman"/>
          <w:b/>
        </w:rPr>
        <w:t xml:space="preserve">2.2 </w:t>
      </w:r>
      <w:r>
        <w:rPr>
          <w:rFonts w:ascii="Garamond" w:hAnsi="Garamond" w:cs="Times New Roman"/>
          <w:b/>
        </w:rPr>
        <w:t xml:space="preserve">Google’s </w:t>
      </w:r>
      <w:r w:rsidRPr="00813173">
        <w:rPr>
          <w:rFonts w:ascii="Garamond" w:hAnsi="Garamond" w:cs="Times New Roman"/>
          <w:b/>
        </w:rPr>
        <w:t>Mobility Report</w:t>
      </w:r>
    </w:p>
    <w:p w14:paraId="5352D347" w14:textId="698F0863" w:rsidR="00AD7857" w:rsidRPr="00813173" w:rsidRDefault="00AD7857" w:rsidP="00650141">
      <w:pPr>
        <w:spacing w:line="480" w:lineRule="auto"/>
        <w:rPr>
          <w:rFonts w:ascii="Garamond" w:hAnsi="Garamond" w:cs="Times New Roman"/>
        </w:rPr>
      </w:pPr>
      <w:r w:rsidRPr="00813173">
        <w:rPr>
          <w:rFonts w:ascii="Garamond" w:hAnsi="Garamond" w:cs="Times New Roman"/>
        </w:rPr>
        <w:t xml:space="preserve">Google’s COVID-19 Community Mobility Report (GMR) </w:t>
      </w:r>
      <w:r>
        <w:rPr>
          <w:rFonts w:ascii="Garamond" w:hAnsi="Garamond" w:cs="Times New Roman"/>
        </w:rPr>
        <w:t xml:space="preserve">was </w:t>
      </w:r>
      <w:r w:rsidRPr="00813173">
        <w:rPr>
          <w:rFonts w:ascii="Garamond" w:hAnsi="Garamond" w:cs="Times New Roman"/>
        </w:rPr>
        <w:t>used</w:t>
      </w:r>
      <w:r>
        <w:rPr>
          <w:rFonts w:ascii="Garamond" w:hAnsi="Garamond" w:cs="Times New Roman"/>
        </w:rPr>
        <w:t xml:space="preserve"> to approximate daily population mobility changes throughout the period of interest. </w:t>
      </w:r>
      <w:r w:rsidRPr="00813173">
        <w:rPr>
          <w:rFonts w:ascii="Garamond" w:hAnsi="Garamond" w:cs="Times New Roman"/>
        </w:rPr>
        <w:t xml:space="preserve">The GMR data </w:t>
      </w:r>
      <w:r>
        <w:rPr>
          <w:rFonts w:ascii="Garamond" w:hAnsi="Garamond" w:cs="Times New Roman"/>
        </w:rPr>
        <w:t xml:space="preserve">are </w:t>
      </w:r>
      <w:r w:rsidRPr="00813173">
        <w:rPr>
          <w:rFonts w:ascii="Garamond" w:hAnsi="Garamond" w:cs="Times New Roman"/>
        </w:rPr>
        <w:t xml:space="preserve">collected from </w:t>
      </w:r>
      <w:r>
        <w:rPr>
          <w:rFonts w:ascii="Garamond" w:hAnsi="Garamond" w:cs="Times New Roman"/>
        </w:rPr>
        <w:t xml:space="preserve">the devices of </w:t>
      </w:r>
      <w:r w:rsidRPr="00813173">
        <w:rPr>
          <w:rFonts w:ascii="Garamond" w:hAnsi="Garamond" w:cs="Times New Roman"/>
        </w:rPr>
        <w:t xml:space="preserve">those who have opted to turn on the Location History setting </w:t>
      </w:r>
      <w:r>
        <w:rPr>
          <w:rFonts w:ascii="Garamond" w:hAnsi="Garamond" w:cs="Times New Roman"/>
        </w:rPr>
        <w:t>by</w:t>
      </w:r>
      <w:r w:rsidRPr="00813173">
        <w:rPr>
          <w:rFonts w:ascii="Garamond" w:hAnsi="Garamond" w:cs="Times New Roman"/>
        </w:rPr>
        <w:t xml:space="preserve"> anonymous</w:t>
      </w:r>
      <w:r>
        <w:rPr>
          <w:rFonts w:ascii="Garamond" w:hAnsi="Garamond" w:cs="Times New Roman"/>
        </w:rPr>
        <w:t xml:space="preserve"> location</w:t>
      </w:r>
      <w:r w:rsidRPr="00813173">
        <w:rPr>
          <w:rFonts w:ascii="Garamond" w:hAnsi="Garamond" w:cs="Times New Roman"/>
        </w:rPr>
        <w:t xml:space="preserve"> </w:t>
      </w:r>
      <w:r>
        <w:rPr>
          <w:rFonts w:ascii="Garamond" w:hAnsi="Garamond" w:cs="Times New Roman"/>
        </w:rPr>
        <w:t xml:space="preserve">tracking. </w:t>
      </w:r>
      <w:r w:rsidRPr="00813173">
        <w:rPr>
          <w:rFonts w:ascii="Garamond" w:hAnsi="Garamond" w:cs="Times New Roman"/>
        </w:rPr>
        <w:t xml:space="preserve">The GMR reports the percentage change in traffic </w:t>
      </w:r>
      <w:r>
        <w:rPr>
          <w:rFonts w:ascii="Garamond" w:hAnsi="Garamond" w:cs="Times New Roman"/>
        </w:rPr>
        <w:t xml:space="preserve">to locations that fall into one of </w:t>
      </w:r>
      <w:r w:rsidR="005E23AB">
        <w:rPr>
          <w:rFonts w:ascii="Garamond" w:hAnsi="Garamond" w:cs="Times New Roman"/>
        </w:rPr>
        <w:t>six</w:t>
      </w:r>
      <w:r>
        <w:rPr>
          <w:rFonts w:ascii="Garamond" w:hAnsi="Garamond" w:cs="Times New Roman"/>
        </w:rPr>
        <w:t xml:space="preserve"> categories: </w:t>
      </w:r>
      <w:r w:rsidRPr="00813173">
        <w:rPr>
          <w:rFonts w:ascii="Garamond" w:hAnsi="Garamond" w:cs="Times New Roman"/>
        </w:rPr>
        <w:t>retail</w:t>
      </w:r>
      <w:r>
        <w:rPr>
          <w:rFonts w:ascii="Garamond" w:hAnsi="Garamond" w:cs="Times New Roman"/>
        </w:rPr>
        <w:t xml:space="preserve"> and </w:t>
      </w:r>
      <w:r w:rsidRPr="00813173">
        <w:rPr>
          <w:rFonts w:ascii="Garamond" w:hAnsi="Garamond" w:cs="Times New Roman"/>
        </w:rPr>
        <w:t>recreation, grocery</w:t>
      </w:r>
      <w:r>
        <w:rPr>
          <w:rFonts w:ascii="Garamond" w:hAnsi="Garamond" w:cs="Times New Roman"/>
        </w:rPr>
        <w:t xml:space="preserve"> and </w:t>
      </w:r>
      <w:r w:rsidRPr="00813173">
        <w:rPr>
          <w:rFonts w:ascii="Garamond" w:hAnsi="Garamond" w:cs="Times New Roman"/>
        </w:rPr>
        <w:t>pharmacy</w:t>
      </w:r>
      <w:r>
        <w:rPr>
          <w:rFonts w:ascii="Garamond" w:hAnsi="Garamond" w:cs="Times New Roman"/>
        </w:rPr>
        <w:t xml:space="preserve"> transit stations</w:t>
      </w:r>
      <w:r w:rsidRPr="00813173">
        <w:rPr>
          <w:rFonts w:ascii="Garamond" w:hAnsi="Garamond" w:cs="Times New Roman"/>
        </w:rPr>
        <w:t xml:space="preserve">, parks, workplaces, and </w:t>
      </w:r>
      <w:r>
        <w:rPr>
          <w:rFonts w:ascii="Garamond" w:hAnsi="Garamond" w:cs="Times New Roman"/>
        </w:rPr>
        <w:t>residential areas</w:t>
      </w:r>
      <w:r w:rsidRPr="00813173">
        <w:rPr>
          <w:rFonts w:ascii="Garamond" w:hAnsi="Garamond" w:cs="Times New Roman"/>
        </w:rPr>
        <w:t>. Traffic is computed based on the number of visitors and/or time spent in each category of place, and percentage change is reported in reference to the median value of traffic from the period between January 3</w:t>
      </w:r>
      <w:r w:rsidRPr="00813173">
        <w:rPr>
          <w:rFonts w:ascii="Garamond" w:hAnsi="Garamond" w:cs="Times New Roman"/>
          <w:vertAlign w:val="superscript"/>
        </w:rPr>
        <w:t>rd</w:t>
      </w:r>
      <w:r w:rsidRPr="00813173">
        <w:rPr>
          <w:rFonts w:ascii="Garamond" w:hAnsi="Garamond" w:cs="Times New Roman"/>
        </w:rPr>
        <w:t xml:space="preserve"> and February 6</w:t>
      </w:r>
      <w:r w:rsidRPr="00813173">
        <w:rPr>
          <w:rFonts w:ascii="Garamond" w:hAnsi="Garamond" w:cs="Times New Roman"/>
          <w:vertAlign w:val="superscript"/>
        </w:rPr>
        <w:t>th</w:t>
      </w:r>
      <w:r w:rsidR="005D7055">
        <w:rPr>
          <w:rFonts w:ascii="Garamond" w:hAnsi="Garamond" w:cs="Times New Roman"/>
        </w:rPr>
        <w:t>.</w:t>
      </w:r>
      <w:r w:rsidR="00E5773E">
        <w:rPr>
          <w:rFonts w:ascii="Garamond" w:hAnsi="Garamond" w:cs="Times New Roman"/>
        </w:rPr>
        <w:t xml:space="preserve"> Since the GMR reports relative changes in time spent in each space, we should be aware that residential mobility will show smaller relative changes in mobility compared with non-residential mobility due to the fact that many more hours are spent at home relative to the other spaces. </w:t>
      </w:r>
    </w:p>
    <w:p w14:paraId="0143CE64" w14:textId="77777777" w:rsidR="00650141" w:rsidRDefault="00AD7857" w:rsidP="00857115">
      <w:pPr>
        <w:spacing w:line="480" w:lineRule="auto"/>
        <w:ind w:firstLine="360"/>
        <w:rPr>
          <w:rFonts w:ascii="Garamond" w:hAnsi="Garamond" w:cs="Times New Roman"/>
        </w:rPr>
      </w:pPr>
      <w:r>
        <w:rPr>
          <w:rFonts w:ascii="Garamond" w:hAnsi="Garamond" w:cs="Times New Roman"/>
        </w:rPr>
        <w:t>The GMR has occasional</w:t>
      </w:r>
      <w:r w:rsidRPr="00813173">
        <w:rPr>
          <w:rFonts w:ascii="Garamond" w:hAnsi="Garamond" w:cs="Times New Roman"/>
        </w:rPr>
        <w:t xml:space="preserve"> gaps in the data when information collected does not surpass a minimum threshold. Since </w:t>
      </w:r>
      <w:r>
        <w:rPr>
          <w:rFonts w:ascii="Garamond" w:hAnsi="Garamond" w:cs="Times New Roman"/>
        </w:rPr>
        <w:t>the dataset compares mobility</w:t>
      </w:r>
      <w:r w:rsidRPr="00813173">
        <w:rPr>
          <w:rFonts w:ascii="Garamond" w:hAnsi="Garamond" w:cs="Times New Roman"/>
        </w:rPr>
        <w:t xml:space="preserve"> information collected to a baseline period in January, seasonal changes in behavior may bias the data. </w:t>
      </w:r>
      <w:r>
        <w:rPr>
          <w:rFonts w:ascii="Garamond" w:hAnsi="Garamond" w:cs="Times New Roman"/>
        </w:rPr>
        <w:t xml:space="preserve">In particular, the parks sector shows the </w:t>
      </w:r>
      <w:r>
        <w:rPr>
          <w:rFonts w:ascii="Garamond" w:hAnsi="Garamond" w:cs="Times New Roman"/>
        </w:rPr>
        <w:lastRenderedPageBreak/>
        <w:t xml:space="preserve">greatest increase in mobility, despite lockdown policy measures. We observe that over the observation period, the weather has become more favorable to time spent outside relative to the baseline period in January, which is wintertime for all of the countries in the sample. We also may observe this increase in park mobility because individuals in affected areas could choose to spend recreation time in parks instead of indoors, as the perceived threat of virus transmission is lower for outdoor spaces. </w:t>
      </w:r>
      <w:r w:rsidRPr="00813173">
        <w:rPr>
          <w:rFonts w:ascii="Garamond" w:hAnsi="Garamond" w:cs="Times New Roman"/>
        </w:rPr>
        <w:t xml:space="preserve">In addition, regions may have local differences in the data which could bias comparisons of different areas. Despite potential biases, these </w:t>
      </w:r>
      <w:r>
        <w:rPr>
          <w:rFonts w:ascii="Garamond" w:hAnsi="Garamond" w:cs="Times New Roman"/>
        </w:rPr>
        <w:t xml:space="preserve">data </w:t>
      </w:r>
      <w:r w:rsidRPr="00813173">
        <w:rPr>
          <w:rFonts w:ascii="Garamond" w:hAnsi="Garamond" w:cs="Times New Roman"/>
        </w:rPr>
        <w:t xml:space="preserve">are useful because they offer insight into the response of the </w:t>
      </w:r>
      <w:r>
        <w:rPr>
          <w:rFonts w:ascii="Garamond" w:hAnsi="Garamond" w:cs="Times New Roman"/>
        </w:rPr>
        <w:t>population</w:t>
      </w:r>
      <w:r w:rsidRPr="00813173">
        <w:rPr>
          <w:rFonts w:ascii="Garamond" w:hAnsi="Garamond" w:cs="Times New Roman"/>
        </w:rPr>
        <w:t xml:space="preserve"> to </w:t>
      </w:r>
      <w:r>
        <w:rPr>
          <w:rFonts w:ascii="Garamond" w:hAnsi="Garamond" w:cs="Times New Roman"/>
        </w:rPr>
        <w:t>lockdown</w:t>
      </w:r>
      <w:r w:rsidRPr="00813173">
        <w:rPr>
          <w:rFonts w:ascii="Garamond" w:hAnsi="Garamond" w:cs="Times New Roman"/>
        </w:rPr>
        <w:t xml:space="preserve"> policy guidelines</w:t>
      </w:r>
      <w:r>
        <w:rPr>
          <w:rFonts w:ascii="Garamond" w:hAnsi="Garamond" w:cs="Times New Roman"/>
        </w:rPr>
        <w:t xml:space="preserve"> and perceived threat of the virus</w:t>
      </w:r>
      <w:r w:rsidRPr="00813173">
        <w:rPr>
          <w:rFonts w:ascii="Garamond" w:hAnsi="Garamond" w:cs="Times New Roman"/>
        </w:rPr>
        <w:t>.</w:t>
      </w:r>
      <w:r>
        <w:rPr>
          <w:rFonts w:ascii="Garamond" w:hAnsi="Garamond" w:cs="Times New Roman"/>
        </w:rPr>
        <w:t xml:space="preserve"> </w:t>
      </w:r>
    </w:p>
    <w:p w14:paraId="2B802250" w14:textId="0AB2A81B" w:rsidR="00AD7857" w:rsidRDefault="00AD7857" w:rsidP="00857115">
      <w:pPr>
        <w:spacing w:line="480" w:lineRule="auto"/>
        <w:ind w:firstLine="360"/>
        <w:rPr>
          <w:rFonts w:ascii="Garamond" w:hAnsi="Garamond" w:cs="Times New Roman"/>
        </w:rPr>
      </w:pPr>
      <w:r>
        <w:rPr>
          <w:rFonts w:ascii="Garamond" w:hAnsi="Garamond" w:cs="Times New Roman"/>
        </w:rPr>
        <w:t xml:space="preserve">Graphs showing mobility trends over time are detailed in the appendix; see Figure </w:t>
      </w:r>
      <w:r w:rsidR="00A70486">
        <w:rPr>
          <w:rFonts w:ascii="Garamond" w:hAnsi="Garamond" w:cs="Times New Roman"/>
        </w:rPr>
        <w:t>3</w:t>
      </w:r>
      <w:r>
        <w:rPr>
          <w:rFonts w:ascii="Garamond" w:hAnsi="Garamond" w:cs="Times New Roman"/>
        </w:rPr>
        <w:t>.</w:t>
      </w:r>
      <w:r w:rsidR="005E11B2">
        <w:rPr>
          <w:rFonts w:ascii="Garamond" w:hAnsi="Garamond" w:cs="Times New Roman"/>
        </w:rPr>
        <w:t xml:space="preserve"> From the graph of the change in residential mobility, which represents the percent change in time spent </w:t>
      </w:r>
      <w:r w:rsidR="00016BA7">
        <w:rPr>
          <w:rFonts w:ascii="Garamond" w:hAnsi="Garamond" w:cs="Times New Roman"/>
        </w:rPr>
        <w:t xml:space="preserve">at home relative to the pre-pandemic baseline period, we observe a sharp increase </w:t>
      </w:r>
      <w:r w:rsidR="005E23AB">
        <w:rPr>
          <w:rFonts w:ascii="Garamond" w:hAnsi="Garamond" w:cs="Times New Roman"/>
        </w:rPr>
        <w:t xml:space="preserve">in mobility </w:t>
      </w:r>
      <w:r w:rsidR="00016BA7">
        <w:rPr>
          <w:rFonts w:ascii="Garamond" w:hAnsi="Garamond" w:cs="Times New Roman"/>
        </w:rPr>
        <w:t>that peaks around 20% around 4</w:t>
      </w:r>
      <w:r w:rsidR="00BD253E">
        <w:rPr>
          <w:rFonts w:ascii="Garamond" w:hAnsi="Garamond" w:cs="Times New Roman"/>
        </w:rPr>
        <w:t>0</w:t>
      </w:r>
      <w:r w:rsidR="00016BA7">
        <w:rPr>
          <w:rFonts w:ascii="Garamond" w:hAnsi="Garamond" w:cs="Times New Roman"/>
        </w:rPr>
        <w:t xml:space="preserve"> days after the start of the epidemic. This slowly drifts back down to 0%, indicating that residential mobility returns to baseline around 100 days after the start of the epidemic. We observe similar but opposite trends in non-residential mobility. Mobility in the retail and recreation and transit station sections </w:t>
      </w:r>
      <w:r w:rsidR="00BD253E">
        <w:rPr>
          <w:rFonts w:ascii="Garamond" w:hAnsi="Garamond" w:cs="Times New Roman"/>
        </w:rPr>
        <w:t xml:space="preserve">show distinct drops to below 50% of pre-pandemic levels around 40 days, and slowly rise to near-baseline levels around 120 days. Transit station mobility remains about 20% below baseline level. Workplace mobility mirrors that of retail and transit until 110 days, where it appears to peak at 15% below baseline and sink back down to 25% below baseline. This phenomenon may reflect fears of rising case numbers corresponding to a “second wave” experienced by some countries. It may also reflect workplace adjustments to the </w:t>
      </w:r>
      <w:r w:rsidR="00857115">
        <w:rPr>
          <w:rFonts w:ascii="Garamond" w:hAnsi="Garamond" w:cs="Times New Roman"/>
        </w:rPr>
        <w:t>w</w:t>
      </w:r>
      <w:r w:rsidR="00BD253E">
        <w:rPr>
          <w:rFonts w:ascii="Garamond" w:hAnsi="Garamond" w:cs="Times New Roman"/>
        </w:rPr>
        <w:t xml:space="preserve">ork </w:t>
      </w:r>
      <w:r w:rsidR="00857115">
        <w:rPr>
          <w:rFonts w:ascii="Garamond" w:hAnsi="Garamond" w:cs="Times New Roman"/>
        </w:rPr>
        <w:t>fr</w:t>
      </w:r>
      <w:r w:rsidR="00BD253E">
        <w:rPr>
          <w:rFonts w:ascii="Garamond" w:hAnsi="Garamond" w:cs="Times New Roman"/>
        </w:rPr>
        <w:t xml:space="preserve">om </w:t>
      </w:r>
      <w:r w:rsidR="00857115">
        <w:rPr>
          <w:rFonts w:ascii="Garamond" w:hAnsi="Garamond" w:cs="Times New Roman"/>
        </w:rPr>
        <w:t>h</w:t>
      </w:r>
      <w:r w:rsidR="00BD253E">
        <w:rPr>
          <w:rFonts w:ascii="Garamond" w:hAnsi="Garamond" w:cs="Times New Roman"/>
        </w:rPr>
        <w:t>ome model or</w:t>
      </w:r>
      <w:r w:rsidR="00857115">
        <w:rPr>
          <w:rFonts w:ascii="Garamond" w:hAnsi="Garamond" w:cs="Times New Roman"/>
        </w:rPr>
        <w:t xml:space="preserve"> </w:t>
      </w:r>
      <w:r w:rsidR="00E5773E">
        <w:rPr>
          <w:rFonts w:ascii="Garamond" w:hAnsi="Garamond" w:cs="Times New Roman"/>
        </w:rPr>
        <w:t xml:space="preserve">may </w:t>
      </w:r>
      <w:r w:rsidR="00857115">
        <w:rPr>
          <w:rFonts w:ascii="Garamond" w:hAnsi="Garamond" w:cs="Times New Roman"/>
        </w:rPr>
        <w:t xml:space="preserve">be impacted by </w:t>
      </w:r>
      <w:r w:rsidR="00E5773E">
        <w:rPr>
          <w:rFonts w:ascii="Garamond" w:hAnsi="Garamond" w:cs="Times New Roman"/>
        </w:rPr>
        <w:t>changing</w:t>
      </w:r>
      <w:r w:rsidR="00857115">
        <w:rPr>
          <w:rFonts w:ascii="Garamond" w:hAnsi="Garamond" w:cs="Times New Roman"/>
        </w:rPr>
        <w:t xml:space="preserve"> </w:t>
      </w:r>
      <w:r w:rsidR="00E5773E">
        <w:rPr>
          <w:rFonts w:ascii="Garamond" w:hAnsi="Garamond" w:cs="Times New Roman"/>
        </w:rPr>
        <w:t>employment</w:t>
      </w:r>
      <w:r w:rsidR="00857115">
        <w:rPr>
          <w:rFonts w:ascii="Garamond" w:hAnsi="Garamond" w:cs="Times New Roman"/>
        </w:rPr>
        <w:t xml:space="preserve"> rates. </w:t>
      </w:r>
      <w:r w:rsidR="00BD253E">
        <w:rPr>
          <w:rFonts w:ascii="Garamond" w:hAnsi="Garamond" w:cs="Times New Roman"/>
        </w:rPr>
        <w:t xml:space="preserve">Grocery and pharmacy sector mobility reflects the same pattern to a lesser degree. This makes intuitive sense, as groceries and pharmacies are essential businesses which sell goods with an inelastic demand and </w:t>
      </w:r>
      <w:r w:rsidR="00E5773E">
        <w:rPr>
          <w:rFonts w:ascii="Garamond" w:hAnsi="Garamond" w:cs="Times New Roman"/>
        </w:rPr>
        <w:t xml:space="preserve">have generally </w:t>
      </w:r>
      <w:r w:rsidR="00BD253E">
        <w:rPr>
          <w:rFonts w:ascii="Garamond" w:hAnsi="Garamond" w:cs="Times New Roman"/>
        </w:rPr>
        <w:lastRenderedPageBreak/>
        <w:t>remained open during the duration of the pandemic.</w:t>
      </w:r>
      <w:r w:rsidR="00857115">
        <w:rPr>
          <w:rFonts w:ascii="Garamond" w:hAnsi="Garamond" w:cs="Times New Roman"/>
        </w:rPr>
        <w:t xml:space="preserve"> The mobility trends for parks notably deviate from the other trends, maintaining baseline mobility until 50 days and rising steadily until 150 days. This reflects that mobility in outdoor public spaces was much less impacted by COVID-19, and we hypothesize that the rise in park mobility reflects a seasonal bias, as parks are better attended in summer months than in the January baseline period. </w:t>
      </w:r>
    </w:p>
    <w:p w14:paraId="6DB11088" w14:textId="77777777" w:rsidR="00AD7857" w:rsidRPr="00C765E3" w:rsidRDefault="00AD7857" w:rsidP="00AD7857">
      <w:pPr>
        <w:spacing w:line="480" w:lineRule="auto"/>
        <w:ind w:firstLine="360"/>
        <w:rPr>
          <w:rFonts w:ascii="Garamond" w:hAnsi="Garamond" w:cs="Times New Roman"/>
        </w:rPr>
      </w:pPr>
    </w:p>
    <w:p w14:paraId="3CD41776" w14:textId="77777777" w:rsidR="00AD7857" w:rsidRPr="00813173" w:rsidRDefault="00AD7857" w:rsidP="00AD7857">
      <w:pPr>
        <w:spacing w:line="480" w:lineRule="auto"/>
        <w:rPr>
          <w:rFonts w:ascii="Garamond" w:hAnsi="Garamond" w:cs="Times New Roman"/>
          <w:b/>
        </w:rPr>
      </w:pPr>
      <w:r>
        <w:rPr>
          <w:rFonts w:ascii="Garamond" w:hAnsi="Garamond" w:cs="Times New Roman"/>
          <w:b/>
        </w:rPr>
        <w:t>2.3 P</w:t>
      </w:r>
      <w:r w:rsidRPr="00813173">
        <w:rPr>
          <w:rFonts w:ascii="Garamond" w:hAnsi="Garamond" w:cs="Times New Roman"/>
          <w:b/>
        </w:rPr>
        <w:t>olicy Stringency</w:t>
      </w:r>
    </w:p>
    <w:p w14:paraId="2F94CCA1" w14:textId="3DB17D76" w:rsidR="00AD7857" w:rsidRDefault="00650141" w:rsidP="00650141">
      <w:pPr>
        <w:spacing w:line="480" w:lineRule="auto"/>
        <w:rPr>
          <w:rFonts w:ascii="Garamond" w:hAnsi="Garamond" w:cs="Times New Roman"/>
        </w:rPr>
      </w:pPr>
      <w:r>
        <w:rPr>
          <w:rFonts w:ascii="Garamond" w:hAnsi="Garamond" w:cs="Times New Roman"/>
        </w:rPr>
        <w:t>T</w:t>
      </w:r>
      <w:r w:rsidR="00AD7857" w:rsidRPr="002161DE">
        <w:rPr>
          <w:rFonts w:ascii="Garamond" w:hAnsi="Garamond" w:cs="Times New Roman"/>
        </w:rPr>
        <w:t>he Oxford COVID-19 Government Response Tracker provides an index for the stringency of each government’s policy response to the virus (</w:t>
      </w:r>
      <w:r w:rsidR="00AD7857">
        <w:rPr>
          <w:rFonts w:ascii="Garamond" w:hAnsi="Garamond" w:cs="Times New Roman"/>
        </w:rPr>
        <w:t>p</w:t>
      </w:r>
      <w:r w:rsidR="00AD7857" w:rsidRPr="002161DE">
        <w:rPr>
          <w:rFonts w:ascii="Garamond" w:hAnsi="Garamond" w:cs="Times New Roman"/>
        </w:rPr>
        <w:t xml:space="preserve">olicy </w:t>
      </w:r>
      <w:r w:rsidR="00AD7857">
        <w:rPr>
          <w:rFonts w:ascii="Garamond" w:hAnsi="Garamond" w:cs="Times New Roman"/>
        </w:rPr>
        <w:t>s</w:t>
      </w:r>
      <w:r w:rsidR="00AD7857" w:rsidRPr="002161DE">
        <w:rPr>
          <w:rFonts w:ascii="Garamond" w:hAnsi="Garamond" w:cs="Times New Roman"/>
        </w:rPr>
        <w:t>tringency). This index considers eight containment and closure measures, as well as 10 additional indicators of economic and health system responses. This composite index is updated for each country for each day</w:t>
      </w:r>
      <w:r w:rsidR="00AD7857">
        <w:rPr>
          <w:rFonts w:ascii="Garamond" w:hAnsi="Garamond" w:cs="Times New Roman"/>
        </w:rPr>
        <w:t>, where 100 indicates the strictest response and 0 indicates no restrictions</w:t>
      </w:r>
      <w:r w:rsidR="00AD7857" w:rsidRPr="002161DE">
        <w:rPr>
          <w:rFonts w:ascii="Garamond" w:hAnsi="Garamond" w:cs="Times New Roman"/>
        </w:rPr>
        <w:t xml:space="preserve">. </w:t>
      </w:r>
      <w:r w:rsidR="00AD7857">
        <w:rPr>
          <w:rFonts w:ascii="Garamond" w:hAnsi="Garamond" w:cs="Times New Roman"/>
        </w:rPr>
        <w:t xml:space="preserve">This index comes from the OWID COVID-19 dataset. A graph displaying the policy stringency trends over time is presented in Figure </w:t>
      </w:r>
      <w:r w:rsidR="004B22BD">
        <w:rPr>
          <w:rFonts w:ascii="Garamond" w:hAnsi="Garamond" w:cs="Times New Roman"/>
        </w:rPr>
        <w:t>4</w:t>
      </w:r>
      <w:r w:rsidR="00AD7857">
        <w:rPr>
          <w:rFonts w:ascii="Garamond" w:hAnsi="Garamond" w:cs="Times New Roman"/>
        </w:rPr>
        <w:t>.</w:t>
      </w:r>
      <w:r w:rsidR="00857115">
        <w:rPr>
          <w:rFonts w:ascii="Garamond" w:hAnsi="Garamond" w:cs="Times New Roman"/>
        </w:rPr>
        <w:t xml:space="preserve"> Policy stringency follows a similar trend to that displayed in the residential mobility graph, rising from an index of 20 to a peak around 80 about 45 days after the start of the epidemic. Policy stringency then falls gradually to an index of 45 by 110 days after the start, and it begins to taper off slightly after 150 days. The observed similarity between residential mobility and policy stringency trends informed our model construction. </w:t>
      </w:r>
    </w:p>
    <w:p w14:paraId="301FCAB0" w14:textId="77777777" w:rsidR="00AD7857" w:rsidRPr="00177ABC" w:rsidRDefault="00AD7857" w:rsidP="00AD7857">
      <w:pPr>
        <w:spacing w:line="480" w:lineRule="auto"/>
        <w:rPr>
          <w:rFonts w:ascii="Garamond" w:hAnsi="Garamond" w:cs="Times New Roman"/>
        </w:rPr>
      </w:pPr>
    </w:p>
    <w:p w14:paraId="64B0DB57" w14:textId="32AE74C8" w:rsidR="00AD7857" w:rsidRPr="00C2470B" w:rsidRDefault="00AD7857" w:rsidP="00AD7857">
      <w:pPr>
        <w:pStyle w:val="ListParagraph"/>
        <w:numPr>
          <w:ilvl w:val="0"/>
          <w:numId w:val="1"/>
        </w:numPr>
        <w:spacing w:line="480" w:lineRule="auto"/>
        <w:rPr>
          <w:rFonts w:ascii="Garamond" w:hAnsi="Garamond" w:cs="Times New Roman"/>
          <w:b/>
          <w:bCs/>
          <w:iCs/>
          <w:sz w:val="32"/>
          <w:szCs w:val="32"/>
        </w:rPr>
      </w:pPr>
      <w:r w:rsidRPr="00C2470B">
        <w:rPr>
          <w:rFonts w:ascii="Garamond" w:hAnsi="Garamond" w:cs="Times New Roman"/>
          <w:b/>
          <w:bCs/>
          <w:iCs/>
          <w:sz w:val="32"/>
          <w:szCs w:val="32"/>
        </w:rPr>
        <w:t xml:space="preserve">The </w:t>
      </w:r>
      <w:r w:rsidR="00C2470B">
        <w:rPr>
          <w:rFonts w:ascii="Garamond" w:hAnsi="Garamond" w:cs="Times New Roman"/>
          <w:b/>
          <w:bCs/>
          <w:iCs/>
          <w:sz w:val="32"/>
          <w:szCs w:val="32"/>
        </w:rPr>
        <w:t>m</w:t>
      </w:r>
      <w:r w:rsidRPr="00C2470B">
        <w:rPr>
          <w:rFonts w:ascii="Garamond" w:hAnsi="Garamond" w:cs="Times New Roman"/>
          <w:b/>
          <w:bCs/>
          <w:iCs/>
          <w:sz w:val="32"/>
          <w:szCs w:val="32"/>
        </w:rPr>
        <w:t xml:space="preserve">odel </w:t>
      </w:r>
    </w:p>
    <w:p w14:paraId="0FF97731" w14:textId="7F38842F" w:rsidR="00BB0CFC" w:rsidRPr="00BB0CFC" w:rsidRDefault="00650141" w:rsidP="00BB0CFC">
      <w:pPr>
        <w:spacing w:line="480" w:lineRule="auto"/>
        <w:rPr>
          <w:rFonts w:ascii="Garamond" w:hAnsi="Garamond" w:cs="Times New Roman"/>
          <w:b/>
          <w:bCs/>
          <w:iCs/>
          <w:sz w:val="28"/>
          <w:szCs w:val="28"/>
        </w:rPr>
      </w:pPr>
      <w:r>
        <w:rPr>
          <w:rFonts w:ascii="Garamond" w:hAnsi="Garamond" w:cs="Times New Roman"/>
          <w:bCs/>
        </w:rPr>
        <w:t xml:space="preserve">We estimate fixed effects models to determine the impacts of policy stringency and new cases per million on mobility over time. Our models control for </w:t>
      </w:r>
      <w:r w:rsidR="00E5773E">
        <w:rPr>
          <w:rFonts w:ascii="Garamond" w:hAnsi="Garamond" w:cs="Times New Roman"/>
          <w:bCs/>
        </w:rPr>
        <w:t>country</w:t>
      </w:r>
      <w:r>
        <w:rPr>
          <w:rFonts w:ascii="Garamond" w:hAnsi="Garamond" w:cs="Times New Roman"/>
          <w:bCs/>
        </w:rPr>
        <w:t xml:space="preserve"> fixed effects and include a factor variable for calendar month to control for month fixed effects. </w:t>
      </w:r>
      <w:r w:rsidR="00B50FA3">
        <w:rPr>
          <w:rFonts w:ascii="Garamond" w:hAnsi="Garamond" w:cs="Times New Roman"/>
          <w:bCs/>
        </w:rPr>
        <w:t xml:space="preserve">Our dataset consisted of 36 </w:t>
      </w:r>
      <w:r w:rsidR="00B50FA3">
        <w:rPr>
          <w:rFonts w:ascii="Garamond" w:hAnsi="Garamond" w:cs="Times New Roman"/>
          <w:bCs/>
        </w:rPr>
        <w:lastRenderedPageBreak/>
        <w:t xml:space="preserve">countries for which complete data were available, and a list of countries used can be found in the appendix. </w:t>
      </w:r>
    </w:p>
    <w:p w14:paraId="6FDB9090" w14:textId="6FA6E58F" w:rsidR="00AD7857" w:rsidRDefault="00AD7857" w:rsidP="00AD7857">
      <w:pPr>
        <w:spacing w:line="480" w:lineRule="auto"/>
        <w:ind w:firstLine="360"/>
        <w:rPr>
          <w:rFonts w:ascii="Garamond" w:hAnsi="Garamond" w:cs="Times New Roman"/>
          <w:b/>
        </w:rPr>
      </w:pPr>
      <w:r w:rsidRPr="00813173">
        <w:rPr>
          <w:rFonts w:ascii="Garamond" w:hAnsi="Garamond" w:cs="Times New Roman"/>
          <w:b/>
        </w:rPr>
        <w:t>3.</w:t>
      </w:r>
      <w:r w:rsidR="00BB0CFC">
        <w:rPr>
          <w:rFonts w:ascii="Garamond" w:hAnsi="Garamond" w:cs="Times New Roman"/>
          <w:b/>
        </w:rPr>
        <w:t>1</w:t>
      </w:r>
      <w:r w:rsidRPr="00813173">
        <w:rPr>
          <w:rFonts w:ascii="Garamond" w:hAnsi="Garamond" w:cs="Times New Roman"/>
          <w:b/>
        </w:rPr>
        <w:t xml:space="preserve"> </w:t>
      </w:r>
      <w:r>
        <w:rPr>
          <w:rFonts w:ascii="Garamond" w:hAnsi="Garamond" w:cs="Times New Roman"/>
          <w:b/>
        </w:rPr>
        <w:t xml:space="preserve">Policy Stringency Effects on Mobility Over Time  </w:t>
      </w:r>
    </w:p>
    <w:p w14:paraId="5545DD19" w14:textId="2EC6F5ED" w:rsidR="00AD7857" w:rsidRDefault="00AD7857" w:rsidP="00650141">
      <w:pPr>
        <w:spacing w:line="480" w:lineRule="auto"/>
        <w:rPr>
          <w:rFonts w:ascii="Garamond" w:hAnsi="Garamond" w:cs="Times New Roman"/>
        </w:rPr>
      </w:pPr>
      <w:r>
        <w:rPr>
          <w:rFonts w:ascii="Garamond" w:hAnsi="Garamond" w:cs="Times New Roman"/>
          <w:bCs/>
        </w:rPr>
        <w:t>We estimate the following model,</w:t>
      </w:r>
      <w:r w:rsidRPr="00AD7857">
        <w:rPr>
          <w:rFonts w:ascii="Garamond" w:hAnsi="Garamond" w:cs="Times New Roman"/>
        </w:rPr>
        <w:t xml:space="preserve"> </w:t>
      </w:r>
      <w:r w:rsidRPr="00813173">
        <w:rPr>
          <w:rFonts w:ascii="Garamond" w:hAnsi="Garamond" w:cs="Times New Roman"/>
        </w:rPr>
        <w:t xml:space="preserve">where the subscript c corresponds to the entry for a particular country and the subscript t corresponds to the number of elapsed days since the first day for which total cases per million for the given country exceeded </w:t>
      </w:r>
      <w:r w:rsidR="00E5773E">
        <w:rPr>
          <w:rFonts w:ascii="Garamond" w:hAnsi="Garamond" w:cs="Times New Roman"/>
        </w:rPr>
        <w:t>two</w:t>
      </w:r>
      <w:r>
        <w:rPr>
          <w:rFonts w:ascii="Garamond" w:hAnsi="Garamond" w:cs="Times New Roman"/>
        </w:rPr>
        <w:t>.</w:t>
      </w:r>
    </w:p>
    <w:p w14:paraId="3663E990" w14:textId="3AA524CF" w:rsidR="00AD7857" w:rsidRPr="00813173" w:rsidRDefault="00AD7857" w:rsidP="00AD7857">
      <w:pPr>
        <w:spacing w:line="480" w:lineRule="auto"/>
        <w:ind w:firstLine="360"/>
        <w:rPr>
          <w:rFonts w:ascii="Garamond" w:hAnsi="Garamond" w:cs="Times New Roman"/>
          <w:bCs/>
        </w:rPr>
      </w:pPr>
      <w:r>
        <w:rPr>
          <w:rFonts w:ascii="Garamond" w:hAnsi="Garamond" w:cs="Times New Roman"/>
        </w:rPr>
        <w:t>Model</w:t>
      </w:r>
      <w:r w:rsidR="00256F3E">
        <w:rPr>
          <w:rFonts w:ascii="Garamond" w:hAnsi="Garamond" w:cs="Times New Roman"/>
        </w:rPr>
        <w:t xml:space="preserve"> 3.1</w:t>
      </w:r>
      <w:r>
        <w:rPr>
          <w:rFonts w:ascii="Garamond" w:hAnsi="Garamond" w:cs="Times New Roman"/>
        </w:rPr>
        <w:t>:</w:t>
      </w:r>
    </w:p>
    <w:p w14:paraId="743FDA6D" w14:textId="0D6DEC3B" w:rsidR="00AD7857" w:rsidRPr="00813173" w:rsidRDefault="008A6DE8" w:rsidP="00AD7857">
      <w:pPr>
        <w:jc w:val="center"/>
        <w:rPr>
          <w:rFonts w:ascii="Garamond" w:hAnsi="Garamond"/>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0</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ct</m:t>
            </m:r>
          </m:sub>
        </m:sSub>
        <m:r>
          <w:rPr>
            <w:rFonts w:ascii="Cambria Math" w:hAnsi="Cambria Math" w:cs="Times New Roman"/>
          </w:rPr>
          <m:t xml:space="preserve"> </m:t>
        </m:r>
      </m:oMath>
      <w:r w:rsidR="00AD7857">
        <w:rPr>
          <w:rFonts w:ascii="Garamond" w:eastAsiaTheme="minorEastAsia" w:hAnsi="Garamond" w:cs="Times New Roman"/>
          <w:i/>
        </w:rPr>
        <w:t xml:space="preserve">+ </w:t>
      </w:r>
      <m:oMath>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2</m:t>
            </m:r>
          </m:sub>
        </m:sSub>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ct</m:t>
            </m:r>
          </m:sub>
          <m:sup>
            <m:r>
              <w:rPr>
                <w:rFonts w:ascii="Cambria Math" w:hAnsi="Cambria Math" w:cs="Times New Roman"/>
              </w:rPr>
              <m:t>2</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ct</m:t>
            </m:r>
          </m:sub>
        </m:sSub>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ct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5</m:t>
            </m:r>
          </m:sub>
        </m:sSub>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ct</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ct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ct</m:t>
            </m:r>
          </m:sub>
        </m:sSub>
      </m:oMath>
    </w:p>
    <w:p w14:paraId="50AB7957" w14:textId="77777777" w:rsidR="00AD7857" w:rsidRPr="00813173" w:rsidRDefault="00AD7857" w:rsidP="00AD7857">
      <w:pPr>
        <w:ind w:firstLine="360"/>
        <w:rPr>
          <w:rFonts w:ascii="Garamond" w:hAnsi="Garamond"/>
        </w:rPr>
      </w:pPr>
    </w:p>
    <w:p w14:paraId="5D5ACE41" w14:textId="05EE7EFB" w:rsidR="00AD7857" w:rsidRDefault="00AD7857" w:rsidP="00650141">
      <w:pPr>
        <w:spacing w:line="480" w:lineRule="auto"/>
        <w:ind w:firstLine="360"/>
        <w:rPr>
          <w:rFonts w:ascii="Garamond" w:hAnsi="Garamond"/>
        </w:rPr>
      </w:pPr>
      <w:r>
        <w:rPr>
          <w:rFonts w:ascii="Garamond" w:hAnsi="Garamond"/>
        </w:rPr>
        <w:t>We regress our model on a mobility vector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ct</m:t>
            </m:r>
          </m:sub>
        </m:sSub>
        <m:r>
          <w:rPr>
            <w:rFonts w:ascii="Cambria Math" w:hAnsi="Cambria Math" w:cs="Times New Roman"/>
          </w:rPr>
          <m:t>)</m:t>
        </m:r>
      </m:oMath>
      <w:r>
        <w:rPr>
          <w:rFonts w:ascii="Garamond" w:hAnsi="Garamond"/>
        </w:rPr>
        <w:t xml:space="preserve"> for the </w:t>
      </w:r>
      <w:r w:rsidR="00E5773E">
        <w:rPr>
          <w:rFonts w:ascii="Garamond" w:hAnsi="Garamond"/>
        </w:rPr>
        <w:t>six</w:t>
      </w:r>
      <w:r>
        <w:rPr>
          <w:rFonts w:ascii="Garamond" w:hAnsi="Garamond"/>
        </w:rPr>
        <w:t xml:space="preserve"> mobility indices, which we estimate separately. We control for the log of new COVID-19 cases per million</w:t>
      </w:r>
      <m:oMath>
        <m:sSub>
          <m:sSubPr>
            <m:ctrlPr>
              <w:rPr>
                <w:rFonts w:ascii="Cambria Math" w:hAnsi="Cambria Math" w:cs="Times New Roman"/>
                <w:i/>
              </w:rPr>
            </m:ctrlPr>
          </m:sSubPr>
          <m:e>
            <m:r>
              <w:rPr>
                <w:rFonts w:ascii="Cambria Math" w:hAnsi="Cambria Math" w:cs="Times New Roman"/>
              </w:rPr>
              <m:t xml:space="preserve"> (K</m:t>
            </m:r>
          </m:e>
          <m:sub>
            <m:r>
              <w:rPr>
                <w:rFonts w:ascii="Cambria Math" w:hAnsi="Cambria Math" w:cs="Times New Roman"/>
              </w:rPr>
              <m:t>ct</m:t>
            </m:r>
          </m:sub>
        </m:sSub>
        <m:r>
          <w:rPr>
            <w:rFonts w:ascii="Cambria Math" w:hAnsi="Cambria Math" w:cs="Times New Roman"/>
          </w:rPr>
          <m:t>)</m:t>
        </m:r>
      </m:oMath>
      <w:r>
        <w:rPr>
          <w:rFonts w:ascii="Garamond" w:hAnsi="Garamond"/>
        </w:rPr>
        <w:t>, the number of days since the start of the pandemic in each country</w:t>
      </w:r>
      <w:r w:rsidR="00BB0CFC">
        <w:rPr>
          <w:rFonts w:ascii="Garamond" w:hAnsi="Garamond"/>
        </w:rPr>
        <w:t xml:space="preserv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ct</m:t>
            </m:r>
          </m:sub>
        </m:sSub>
        <m:r>
          <w:rPr>
            <w:rFonts w:ascii="Cambria Math" w:hAnsi="Cambria Math" w:cs="Times New Roman"/>
          </w:rPr>
          <m:t>)</m:t>
        </m:r>
      </m:oMath>
      <w:r>
        <w:rPr>
          <w:rFonts w:ascii="Garamond" w:hAnsi="Garamond"/>
        </w:rPr>
        <w:t xml:space="preserve">, </w:t>
      </w:r>
      <w:r w:rsidR="00BB0CFC">
        <w:rPr>
          <w:rFonts w:ascii="Garamond" w:hAnsi="Garamond"/>
        </w:rPr>
        <w:t>and its</w:t>
      </w:r>
      <w:r>
        <w:rPr>
          <w:rFonts w:ascii="Garamond" w:hAnsi="Garamond"/>
        </w:rPr>
        <w:t xml:space="preserve"> square</w:t>
      </w:r>
      <w:r w:rsidR="00BB0CFC">
        <w:rPr>
          <w:rFonts w:ascii="Garamond" w:hAnsi="Garamond"/>
        </w:rPr>
        <w:t xml:space="preserve">. We </w:t>
      </w:r>
      <w:r>
        <w:rPr>
          <w:rFonts w:ascii="Garamond" w:hAnsi="Garamond"/>
        </w:rPr>
        <w:t xml:space="preserve">estimate the coefficients for policy stringency, and the interactions between policy stringency and days, and days squared. We </w:t>
      </w:r>
      <w:r w:rsidR="00650141">
        <w:rPr>
          <w:rFonts w:ascii="Garamond" w:hAnsi="Garamond"/>
        </w:rPr>
        <w:t>control for calendar month and country</w:t>
      </w:r>
      <w:r>
        <w:rPr>
          <w:rFonts w:ascii="Garamond" w:hAnsi="Garamond"/>
        </w:rPr>
        <w:t xml:space="preserve"> fixed effects</w:t>
      </w:r>
      <w:r w:rsidR="00780182">
        <w:rPr>
          <w:rFonts w:ascii="Garamond" w:hAnsi="Garamond"/>
        </w:rPr>
        <w:t>, and we use robust standard errors.</w:t>
      </w:r>
    </w:p>
    <w:p w14:paraId="7FA770AC" w14:textId="77777777" w:rsidR="00AD7857" w:rsidRPr="00813173" w:rsidRDefault="00AD7857" w:rsidP="00AD7857">
      <w:pPr>
        <w:spacing w:line="480" w:lineRule="auto"/>
        <w:rPr>
          <w:rFonts w:ascii="Garamond" w:hAnsi="Garamond"/>
        </w:rPr>
      </w:pPr>
    </w:p>
    <w:p w14:paraId="559A6740" w14:textId="374846A9" w:rsidR="00AD7857" w:rsidRDefault="00AD7857" w:rsidP="00AD7857">
      <w:pPr>
        <w:spacing w:line="480" w:lineRule="auto"/>
        <w:ind w:firstLine="360"/>
        <w:rPr>
          <w:rFonts w:ascii="Garamond" w:hAnsi="Garamond" w:cs="Times New Roman"/>
          <w:b/>
        </w:rPr>
      </w:pPr>
      <w:r w:rsidRPr="00813173">
        <w:rPr>
          <w:rFonts w:ascii="Garamond" w:hAnsi="Garamond" w:cs="Times New Roman"/>
          <w:b/>
        </w:rPr>
        <w:t>3.</w:t>
      </w:r>
      <w:r w:rsidR="00BB0CFC">
        <w:rPr>
          <w:rFonts w:ascii="Garamond" w:hAnsi="Garamond" w:cs="Times New Roman"/>
          <w:b/>
        </w:rPr>
        <w:t>2</w:t>
      </w:r>
      <w:r w:rsidRPr="00813173">
        <w:rPr>
          <w:rFonts w:ascii="Garamond" w:hAnsi="Garamond" w:cs="Times New Roman"/>
          <w:b/>
        </w:rPr>
        <w:t xml:space="preserve"> </w:t>
      </w:r>
      <w:r>
        <w:rPr>
          <w:rFonts w:ascii="Garamond" w:hAnsi="Garamond" w:cs="Times New Roman"/>
          <w:b/>
        </w:rPr>
        <w:t xml:space="preserve">New Case Effects on Mobility Over Time </w:t>
      </w:r>
    </w:p>
    <w:p w14:paraId="56655774" w14:textId="6C36FB1F" w:rsidR="00AD7857" w:rsidRDefault="00AD7857" w:rsidP="00650141">
      <w:pPr>
        <w:spacing w:line="480" w:lineRule="auto"/>
        <w:ind w:firstLine="360"/>
        <w:rPr>
          <w:rFonts w:ascii="Garamond" w:hAnsi="Garamond"/>
        </w:rPr>
      </w:pPr>
      <w:r>
        <w:rPr>
          <w:rFonts w:ascii="Garamond" w:hAnsi="Garamond"/>
        </w:rPr>
        <w:t xml:space="preserve">We estimate a similar model to observe the effect of the number of new cases </w:t>
      </w:r>
      <w:r w:rsidR="00BB0CFC">
        <w:rPr>
          <w:rFonts w:ascii="Garamond" w:hAnsi="Garamond"/>
        </w:rPr>
        <w:t xml:space="preserve">per million </w:t>
      </w:r>
      <w:r>
        <w:rPr>
          <w:rFonts w:ascii="Garamond" w:hAnsi="Garamond"/>
        </w:rPr>
        <w:t>on mobility. This model is a variant of the model described in section 3.</w:t>
      </w:r>
      <w:r w:rsidR="00BB0CFC">
        <w:rPr>
          <w:rFonts w:ascii="Garamond" w:hAnsi="Garamond"/>
        </w:rPr>
        <w:t>1</w:t>
      </w:r>
      <w:r w:rsidR="00E5773E">
        <w:rPr>
          <w:rFonts w:ascii="Garamond" w:hAnsi="Garamond"/>
        </w:rPr>
        <w:t>; we have</w:t>
      </w:r>
      <w:r>
        <w:rPr>
          <w:rFonts w:ascii="Garamond" w:hAnsi="Garamond"/>
        </w:rPr>
        <w:t xml:space="preserve"> change</w:t>
      </w:r>
      <w:r w:rsidR="00E5773E">
        <w:rPr>
          <w:rFonts w:ascii="Garamond" w:hAnsi="Garamond"/>
        </w:rPr>
        <w:t>d</w:t>
      </w:r>
      <w:r w:rsidR="00BB0CFC">
        <w:rPr>
          <w:rFonts w:ascii="Garamond" w:hAnsi="Garamond"/>
        </w:rPr>
        <w:t xml:space="preserve"> policy stringency to be the control and estimate the coefficients for new cases per million and its interaction with days and days squared. </w:t>
      </w:r>
      <w:r w:rsidR="00650141">
        <w:rPr>
          <w:rFonts w:ascii="Garamond" w:hAnsi="Garamond"/>
        </w:rPr>
        <w:t>We</w:t>
      </w:r>
      <w:r w:rsidR="00780182">
        <w:rPr>
          <w:rFonts w:ascii="Garamond" w:hAnsi="Garamond"/>
        </w:rPr>
        <w:t xml:space="preserve"> once again</w:t>
      </w:r>
      <w:r w:rsidR="00650141">
        <w:rPr>
          <w:rFonts w:ascii="Garamond" w:hAnsi="Garamond"/>
        </w:rPr>
        <w:t xml:space="preserve"> control for calendar month and country fixed effects</w:t>
      </w:r>
      <w:r w:rsidR="00780182">
        <w:rPr>
          <w:rFonts w:ascii="Garamond" w:hAnsi="Garamond"/>
        </w:rPr>
        <w:t xml:space="preserve"> and use robust standard errors. </w:t>
      </w:r>
    </w:p>
    <w:p w14:paraId="50279A60" w14:textId="237C2EAA" w:rsidR="00256F3E" w:rsidRDefault="00256F3E" w:rsidP="00650141">
      <w:pPr>
        <w:spacing w:line="480" w:lineRule="auto"/>
        <w:ind w:firstLine="360"/>
        <w:rPr>
          <w:rFonts w:ascii="Garamond" w:hAnsi="Garamond"/>
        </w:rPr>
      </w:pPr>
      <w:r>
        <w:rPr>
          <w:rFonts w:ascii="Garamond" w:hAnsi="Garamond"/>
        </w:rPr>
        <w:t xml:space="preserve">Model 3.2: </w:t>
      </w:r>
    </w:p>
    <w:p w14:paraId="02B5DCD4" w14:textId="1E9FFBA5" w:rsidR="00256F3E" w:rsidRPr="00813173" w:rsidRDefault="008A6DE8" w:rsidP="00256F3E">
      <w:pPr>
        <w:jc w:val="center"/>
        <w:rPr>
          <w:rFonts w:ascii="Garamond" w:hAnsi="Garamond"/>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0</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P</m:t>
            </m:r>
          </m:sub>
        </m:sSub>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ct</m:t>
            </m:r>
          </m:sub>
        </m:sSub>
        <m:r>
          <w:rPr>
            <w:rFonts w:ascii="Cambria Math" w:hAnsi="Cambria Math" w:cs="Times New Roman"/>
          </w:rPr>
          <m:t xml:space="preserve"> </m:t>
        </m:r>
      </m:oMath>
      <w:r w:rsidR="00256F3E">
        <w:rPr>
          <w:rFonts w:ascii="Garamond" w:eastAsiaTheme="minorEastAsia" w:hAnsi="Garamond" w:cs="Times New Roman"/>
          <w:i/>
        </w:rPr>
        <w:t xml:space="preserve">+ </w:t>
      </w:r>
      <m:oMath>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2</m:t>
            </m:r>
          </m:sub>
        </m:sSub>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ct</m:t>
            </m:r>
          </m:sub>
          <m:sup>
            <m:r>
              <w:rPr>
                <w:rFonts w:ascii="Cambria Math" w:hAnsi="Cambria Math" w:cs="Times New Roman"/>
              </w:rPr>
              <m:t>2</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ct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ct</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ct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5</m:t>
            </m:r>
          </m:sub>
        </m:sSub>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ct</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ct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ct</m:t>
            </m:r>
          </m:sub>
        </m:sSub>
      </m:oMath>
    </w:p>
    <w:p w14:paraId="6E16FB5C" w14:textId="77777777" w:rsidR="00256F3E" w:rsidRPr="00813173" w:rsidRDefault="00256F3E" w:rsidP="00650141">
      <w:pPr>
        <w:spacing w:line="480" w:lineRule="auto"/>
        <w:ind w:firstLine="360"/>
        <w:rPr>
          <w:rFonts w:ascii="Garamond" w:hAnsi="Garamond" w:cs="Times New Roman"/>
        </w:rPr>
      </w:pPr>
    </w:p>
    <w:p w14:paraId="08D8ED2A" w14:textId="77777777" w:rsidR="00AD7857" w:rsidRPr="00813173" w:rsidRDefault="00AD7857" w:rsidP="00AD7857">
      <w:pPr>
        <w:spacing w:line="480" w:lineRule="auto"/>
        <w:rPr>
          <w:rFonts w:ascii="Garamond" w:hAnsi="Garamond" w:cs="Times New Roman"/>
        </w:rPr>
      </w:pPr>
    </w:p>
    <w:p w14:paraId="050F0694" w14:textId="77777777" w:rsidR="00AD7857" w:rsidRPr="00C2470B" w:rsidRDefault="00AD7857" w:rsidP="00AD7857">
      <w:pPr>
        <w:pStyle w:val="ListParagraph"/>
        <w:numPr>
          <w:ilvl w:val="0"/>
          <w:numId w:val="1"/>
        </w:numPr>
        <w:spacing w:line="480" w:lineRule="auto"/>
        <w:rPr>
          <w:rFonts w:ascii="Garamond" w:hAnsi="Garamond" w:cs="Times New Roman"/>
          <w:sz w:val="32"/>
          <w:szCs w:val="28"/>
        </w:rPr>
      </w:pPr>
      <w:r w:rsidRPr="00C2470B">
        <w:rPr>
          <w:rFonts w:ascii="Garamond" w:hAnsi="Garamond" w:cs="Times New Roman"/>
          <w:b/>
          <w:sz w:val="32"/>
          <w:szCs w:val="28"/>
        </w:rPr>
        <w:lastRenderedPageBreak/>
        <w:t>Results</w:t>
      </w:r>
    </w:p>
    <w:p w14:paraId="2C7C1696" w14:textId="0F3215EB" w:rsidR="00AD7857" w:rsidRDefault="00650141" w:rsidP="00650141">
      <w:pPr>
        <w:spacing w:line="480" w:lineRule="auto"/>
        <w:rPr>
          <w:rFonts w:ascii="Garamond" w:hAnsi="Garamond" w:cs="Times New Roman"/>
        </w:rPr>
      </w:pPr>
      <w:r>
        <w:rPr>
          <w:rFonts w:ascii="Garamond" w:hAnsi="Garamond" w:cs="Times New Roman"/>
        </w:rPr>
        <w:t>This section details the results of the models split up into two subsections corresponding to the</w:t>
      </w:r>
      <w:r w:rsidR="002343D3">
        <w:rPr>
          <w:rFonts w:ascii="Garamond" w:hAnsi="Garamond" w:cs="Times New Roman"/>
        </w:rPr>
        <w:t xml:space="preserve"> models presented above. </w:t>
      </w:r>
    </w:p>
    <w:p w14:paraId="1700EC3E" w14:textId="40015D07" w:rsidR="002343D3" w:rsidRDefault="002343D3" w:rsidP="002343D3">
      <w:pPr>
        <w:spacing w:line="480" w:lineRule="auto"/>
        <w:ind w:firstLine="360"/>
        <w:rPr>
          <w:rFonts w:ascii="Garamond" w:hAnsi="Garamond" w:cs="Times New Roman"/>
          <w:b/>
        </w:rPr>
      </w:pPr>
      <w:r>
        <w:rPr>
          <w:rFonts w:ascii="Garamond" w:hAnsi="Garamond" w:cs="Times New Roman"/>
          <w:b/>
        </w:rPr>
        <w:t>4</w:t>
      </w:r>
      <w:r w:rsidRPr="00813173">
        <w:rPr>
          <w:rFonts w:ascii="Garamond" w:hAnsi="Garamond" w:cs="Times New Roman"/>
          <w:b/>
        </w:rPr>
        <w:t>.</w:t>
      </w:r>
      <w:r>
        <w:rPr>
          <w:rFonts w:ascii="Garamond" w:hAnsi="Garamond" w:cs="Times New Roman"/>
          <w:b/>
        </w:rPr>
        <w:t>1</w:t>
      </w:r>
      <w:r w:rsidRPr="00813173">
        <w:rPr>
          <w:rFonts w:ascii="Garamond" w:hAnsi="Garamond" w:cs="Times New Roman"/>
          <w:b/>
        </w:rPr>
        <w:t xml:space="preserve"> </w:t>
      </w:r>
      <w:r>
        <w:rPr>
          <w:rFonts w:ascii="Garamond" w:hAnsi="Garamond" w:cs="Times New Roman"/>
          <w:b/>
        </w:rPr>
        <w:t xml:space="preserve">Policy Stringency Effects on Mobility Over Time </w:t>
      </w:r>
    </w:p>
    <w:p w14:paraId="0F7F96B7" w14:textId="7CB0308C" w:rsidR="002343D3" w:rsidRDefault="00256F3E" w:rsidP="00650141">
      <w:pPr>
        <w:spacing w:line="480" w:lineRule="auto"/>
        <w:rPr>
          <w:rFonts w:ascii="Garamond" w:hAnsi="Garamond" w:cs="Times New Roman"/>
        </w:rPr>
      </w:pPr>
      <w:r>
        <w:rPr>
          <w:rFonts w:ascii="Garamond" w:hAnsi="Garamond" w:cs="Times New Roman"/>
        </w:rPr>
        <w:t xml:space="preserve">Table 3 presents the results from estimating Model 3.1 on residential mobility. We see that policy stringency has a significant positive effect on residential mobility, meaning that stricter policy leads to more time spent at home relative to the baseline period. This is consistent with the findings of </w:t>
      </w:r>
      <w:proofErr w:type="spellStart"/>
      <w:r>
        <w:rPr>
          <w:rFonts w:ascii="Garamond" w:hAnsi="Garamond" w:cs="Times New Roman"/>
        </w:rPr>
        <w:t>Askitas</w:t>
      </w:r>
      <w:proofErr w:type="spellEnd"/>
      <w:r>
        <w:rPr>
          <w:rFonts w:ascii="Garamond" w:hAnsi="Garamond" w:cs="Times New Roman"/>
        </w:rPr>
        <w:t xml:space="preserve">, </w:t>
      </w:r>
      <w:proofErr w:type="spellStart"/>
      <w:r>
        <w:rPr>
          <w:rFonts w:ascii="Garamond" w:hAnsi="Garamond" w:cs="Times New Roman"/>
        </w:rPr>
        <w:t>Tatsiramos</w:t>
      </w:r>
      <w:proofErr w:type="spellEnd"/>
      <w:r>
        <w:rPr>
          <w:rFonts w:ascii="Garamond" w:hAnsi="Garamond" w:cs="Times New Roman"/>
        </w:rPr>
        <w:t xml:space="preserve"> and </w:t>
      </w:r>
      <w:proofErr w:type="spellStart"/>
      <w:r>
        <w:rPr>
          <w:rFonts w:ascii="Garamond" w:hAnsi="Garamond" w:cs="Times New Roman"/>
        </w:rPr>
        <w:t>Verheyden</w:t>
      </w:r>
      <w:proofErr w:type="spellEnd"/>
      <w:r>
        <w:rPr>
          <w:rFonts w:ascii="Garamond" w:hAnsi="Garamond" w:cs="Times New Roman"/>
        </w:rPr>
        <w:t>.</w:t>
      </w:r>
      <w:r w:rsidR="003723A0">
        <w:rPr>
          <w:rFonts w:ascii="Garamond" w:hAnsi="Garamond" w:cs="Times New Roman"/>
        </w:rPr>
        <w:t xml:space="preserve"> We also see a significant negative coefficient for the interaction between policy stringency and days elapsed, implying that for a constant level of policy stringency, the effect of that policy on residential mobility weakens over time.</w:t>
      </w:r>
      <w:r w:rsidR="00AE3E25">
        <w:rPr>
          <w:rFonts w:ascii="Garamond" w:hAnsi="Garamond" w:cs="Times New Roman"/>
        </w:rPr>
        <w:t xml:space="preserve"> This is consistent with our hypothesis that populations experience “quarantine fatigue,” which</w:t>
      </w:r>
      <w:r w:rsidR="004B22BD">
        <w:rPr>
          <w:rFonts w:ascii="Garamond" w:hAnsi="Garamond" w:cs="Times New Roman"/>
        </w:rPr>
        <w:t xml:space="preserve"> is characterized by a resistance to </w:t>
      </w:r>
      <w:r w:rsidR="00E5773E">
        <w:rPr>
          <w:rFonts w:ascii="Garamond" w:hAnsi="Garamond" w:cs="Times New Roman"/>
        </w:rPr>
        <w:t>follow</w:t>
      </w:r>
      <w:r w:rsidR="004B22BD">
        <w:rPr>
          <w:rFonts w:ascii="Garamond" w:hAnsi="Garamond" w:cs="Times New Roman"/>
        </w:rPr>
        <w:t xml:space="preserve"> lockdown guidelines that builds over time.</w:t>
      </w:r>
      <w:r w:rsidR="003723A0">
        <w:rPr>
          <w:rFonts w:ascii="Garamond" w:hAnsi="Garamond" w:cs="Times New Roman"/>
        </w:rPr>
        <w:t xml:space="preserve"> We see that our controls for log of new cases per million and month fixed effects are significant in predicting residential mobility. </w:t>
      </w:r>
    </w:p>
    <w:p w14:paraId="39AE3488" w14:textId="7699CBBD" w:rsidR="003723A0" w:rsidRDefault="003723A0" w:rsidP="00650141">
      <w:pPr>
        <w:spacing w:line="480" w:lineRule="auto"/>
        <w:rPr>
          <w:rFonts w:ascii="Garamond" w:hAnsi="Garamond" w:cs="Times New Roman"/>
        </w:rPr>
      </w:pPr>
      <w:r>
        <w:rPr>
          <w:rFonts w:ascii="Garamond" w:hAnsi="Garamond" w:cs="Times New Roman"/>
        </w:rPr>
        <w:tab/>
        <w:t xml:space="preserve">For non-residential mobility, our results indicate the corresponding opposite effects. For retail, transit, and workplace mobility, we find significant negative coefficients for policy stringency and significant positive coefficients for the interaction between policy stringency and days elapsed. </w:t>
      </w:r>
      <w:r w:rsidR="009F4F1B">
        <w:rPr>
          <w:rFonts w:ascii="Garamond" w:hAnsi="Garamond" w:cs="Times New Roman"/>
        </w:rPr>
        <w:t xml:space="preserve">These findings are consistent with the results of our residential mobility findings and imply that more stringent government policy leads to decreased out-of-home mobility, and that those effects weaken over time. For grocery </w:t>
      </w:r>
      <w:r w:rsidR="00E5773E">
        <w:rPr>
          <w:rFonts w:ascii="Garamond" w:hAnsi="Garamond" w:cs="Times New Roman"/>
        </w:rPr>
        <w:t xml:space="preserve">and pharmacy </w:t>
      </w:r>
      <w:r w:rsidR="009F4F1B">
        <w:rPr>
          <w:rFonts w:ascii="Garamond" w:hAnsi="Garamond" w:cs="Times New Roman"/>
        </w:rPr>
        <w:t>mobility we find a significant negative coefficient for policy stringency, but an insignificant positive coefficient for the interaction between policy and days elapsed. This reflects that the effects of policy stringency on grocery and pharmacy sector mobility do not vary significantly with time. For mobility in parks we find no significant effect of policy stringency or any variables with the exception of the month factor variables, implying the changes in park mobility are primarily due to seasonal changes and not COVID-19 effects.</w:t>
      </w:r>
    </w:p>
    <w:p w14:paraId="06AA2B4F" w14:textId="3427D0EA" w:rsidR="00AC5C62" w:rsidRDefault="003723A0" w:rsidP="00104AF2">
      <w:pPr>
        <w:spacing w:line="480" w:lineRule="auto"/>
        <w:rPr>
          <w:rFonts w:ascii="Garamond" w:hAnsi="Garamond" w:cs="Times New Roman"/>
        </w:rPr>
      </w:pPr>
      <w:r>
        <w:rPr>
          <w:rFonts w:ascii="Garamond" w:hAnsi="Garamond" w:cs="Times New Roman"/>
        </w:rPr>
        <w:lastRenderedPageBreak/>
        <w:tab/>
        <w:t xml:space="preserve">We then present the marginal effects of </w:t>
      </w:r>
      <w:r w:rsidR="009F4F1B">
        <w:rPr>
          <w:rFonts w:ascii="Garamond" w:hAnsi="Garamond" w:cs="Times New Roman"/>
        </w:rPr>
        <w:t xml:space="preserve">policy stringency </w:t>
      </w:r>
      <w:r w:rsidR="00780182">
        <w:rPr>
          <w:rFonts w:ascii="Garamond" w:hAnsi="Garamond" w:cs="Times New Roman"/>
        </w:rPr>
        <w:t xml:space="preserve">on residential mobility </w:t>
      </w:r>
      <w:r w:rsidR="009F4F1B">
        <w:rPr>
          <w:rFonts w:ascii="Garamond" w:hAnsi="Garamond" w:cs="Times New Roman"/>
        </w:rPr>
        <w:t xml:space="preserve">in </w:t>
      </w:r>
      <w:r w:rsidR="00104AF2">
        <w:rPr>
          <w:rFonts w:ascii="Garamond" w:hAnsi="Garamond" w:cs="Times New Roman"/>
        </w:rPr>
        <w:t xml:space="preserve">Figure </w:t>
      </w:r>
      <w:r w:rsidR="004B22BD">
        <w:rPr>
          <w:rFonts w:ascii="Garamond" w:hAnsi="Garamond" w:cs="Times New Roman"/>
        </w:rPr>
        <w:t>5</w:t>
      </w:r>
      <w:r w:rsidR="009F4F1B">
        <w:rPr>
          <w:rFonts w:ascii="Garamond" w:hAnsi="Garamond" w:cs="Times New Roman"/>
        </w:rPr>
        <w:t>.</w:t>
      </w:r>
      <w:r w:rsidR="00780182">
        <w:rPr>
          <w:rFonts w:ascii="Garamond" w:hAnsi="Garamond" w:cs="Times New Roman"/>
        </w:rPr>
        <w:t xml:space="preserve"> Each coefficient corresponds to the marginal effect of policy stringency calculated every 20 days from the start of the epidemic in each country for 160 days. We see significant positive effects that lessen in magnitude over time, becoming insignificant between 120 and 140 days after the start of the pandemic.</w:t>
      </w:r>
    </w:p>
    <w:p w14:paraId="134EB54A" w14:textId="202D5516" w:rsidR="003723A0" w:rsidRPr="00813173" w:rsidRDefault="00780182" w:rsidP="00AC5C62">
      <w:pPr>
        <w:spacing w:line="480" w:lineRule="auto"/>
        <w:ind w:firstLine="360"/>
        <w:rPr>
          <w:rFonts w:ascii="Garamond" w:hAnsi="Garamond" w:cs="Times New Roman"/>
        </w:rPr>
      </w:pPr>
      <w:r>
        <w:rPr>
          <w:rFonts w:ascii="Garamond" w:hAnsi="Garamond" w:cs="Times New Roman"/>
        </w:rPr>
        <w:t>For non-residential mobility, we find consistent opposite effects.</w:t>
      </w:r>
      <w:r w:rsidR="00104AF2">
        <w:rPr>
          <w:rFonts w:ascii="Garamond" w:hAnsi="Garamond" w:cs="Times New Roman"/>
        </w:rPr>
        <w:t xml:space="preserve"> For the retail and recreation sector we find significant effects at the 1% level up to 120 days, 5% level at 140 days, and insignificant effects after 160 days. For the grocery and pharmacy sector, the effect is significant at the 1% level up to 120 days</w:t>
      </w:r>
      <w:r w:rsidR="007E2833">
        <w:rPr>
          <w:rFonts w:ascii="Garamond" w:hAnsi="Garamond" w:cs="Times New Roman"/>
        </w:rPr>
        <w:t xml:space="preserve">, significant at the 10% level after 140 days, and insignificant after 160 days. For the transit sector the effect is significant at the 1% level up to 140 days and is significant at the 5% level after 160 days. This is consistent with the observation that transit mobility remains about 20% below baseline levels after 160 days (Figure </w:t>
      </w:r>
      <w:r w:rsidR="00A70486">
        <w:rPr>
          <w:rFonts w:ascii="Garamond" w:hAnsi="Garamond" w:cs="Times New Roman"/>
        </w:rPr>
        <w:t>3</w:t>
      </w:r>
      <w:r w:rsidR="007E2833">
        <w:rPr>
          <w:rFonts w:ascii="Garamond" w:hAnsi="Garamond" w:cs="Times New Roman"/>
        </w:rPr>
        <w:t>). For the workplace sector we find that policy stringency has a significant negative effect at the 1% level 100 days after the start of the pandemic, an insignificant effect from 100-140 days, and a positive effect significant at the 10% level after 160 days. This is a curious finding</w:t>
      </w:r>
      <w:r w:rsidR="006C109B">
        <w:rPr>
          <w:rFonts w:ascii="Garamond" w:hAnsi="Garamond" w:cs="Times New Roman"/>
        </w:rPr>
        <w:t xml:space="preserve"> that </w:t>
      </w:r>
      <w:r w:rsidR="007E2833">
        <w:rPr>
          <w:rFonts w:ascii="Garamond" w:hAnsi="Garamond" w:cs="Times New Roman"/>
        </w:rPr>
        <w:t>could be further explored with analysis</w:t>
      </w:r>
      <w:r w:rsidR="00E5773E">
        <w:rPr>
          <w:rFonts w:ascii="Garamond" w:hAnsi="Garamond" w:cs="Times New Roman"/>
        </w:rPr>
        <w:t xml:space="preserve"> of</w:t>
      </w:r>
      <w:r w:rsidR="007E2833">
        <w:rPr>
          <w:rFonts w:ascii="Garamond" w:hAnsi="Garamond" w:cs="Times New Roman"/>
        </w:rPr>
        <w:t xml:space="preserve"> more recent data to </w:t>
      </w:r>
      <w:r w:rsidR="00E5773E">
        <w:rPr>
          <w:rFonts w:ascii="Garamond" w:hAnsi="Garamond" w:cs="Times New Roman"/>
        </w:rPr>
        <w:t>investigate the persistence of the trend</w:t>
      </w:r>
      <w:r w:rsidR="007E2833">
        <w:rPr>
          <w:rFonts w:ascii="Garamond" w:hAnsi="Garamond" w:cs="Times New Roman"/>
        </w:rPr>
        <w:t xml:space="preserve">. It is unsurprising that </w:t>
      </w:r>
      <w:r w:rsidR="006B4CB8">
        <w:rPr>
          <w:rFonts w:ascii="Garamond" w:hAnsi="Garamond" w:cs="Times New Roman"/>
        </w:rPr>
        <w:t>the effect of policy stringency on park sector mobility is largely insignificant due to the results of Model 3.1. However, we observe a significant negative effect in the period between 80 and 120 days. This may be explained by observation that park mobility increased while policy stringency decreased overall during this time period.</w:t>
      </w:r>
    </w:p>
    <w:p w14:paraId="2F7B4286" w14:textId="77777777" w:rsidR="00AD7857" w:rsidRPr="00813173" w:rsidRDefault="00AD7857" w:rsidP="00AD7857">
      <w:pPr>
        <w:spacing w:line="480" w:lineRule="auto"/>
        <w:rPr>
          <w:rFonts w:ascii="Garamond" w:hAnsi="Garamond" w:cs="Times New Roman"/>
        </w:rPr>
      </w:pPr>
    </w:p>
    <w:p w14:paraId="0F5AA711" w14:textId="4B19B0F5" w:rsidR="002343D3" w:rsidRDefault="002343D3" w:rsidP="002343D3">
      <w:pPr>
        <w:spacing w:line="480" w:lineRule="auto"/>
        <w:ind w:firstLine="360"/>
        <w:rPr>
          <w:rFonts w:ascii="Garamond" w:hAnsi="Garamond" w:cs="Times New Roman"/>
          <w:b/>
        </w:rPr>
      </w:pPr>
      <w:r>
        <w:rPr>
          <w:rFonts w:ascii="Garamond" w:hAnsi="Garamond" w:cs="Times New Roman"/>
          <w:b/>
        </w:rPr>
        <w:t>4</w:t>
      </w:r>
      <w:r w:rsidRPr="00813173">
        <w:rPr>
          <w:rFonts w:ascii="Garamond" w:hAnsi="Garamond" w:cs="Times New Roman"/>
          <w:b/>
        </w:rPr>
        <w:t>.</w:t>
      </w:r>
      <w:r>
        <w:rPr>
          <w:rFonts w:ascii="Garamond" w:hAnsi="Garamond" w:cs="Times New Roman"/>
          <w:b/>
        </w:rPr>
        <w:t>2</w:t>
      </w:r>
      <w:r w:rsidRPr="00813173">
        <w:rPr>
          <w:rFonts w:ascii="Garamond" w:hAnsi="Garamond" w:cs="Times New Roman"/>
          <w:b/>
        </w:rPr>
        <w:t xml:space="preserve"> </w:t>
      </w:r>
      <w:r>
        <w:rPr>
          <w:rFonts w:ascii="Garamond" w:hAnsi="Garamond" w:cs="Times New Roman"/>
          <w:b/>
        </w:rPr>
        <w:t xml:space="preserve">New Case Effects on Mobility Over Time </w:t>
      </w:r>
    </w:p>
    <w:p w14:paraId="46899778" w14:textId="216E39A2" w:rsidR="00320922" w:rsidRDefault="00320922" w:rsidP="00320922">
      <w:pPr>
        <w:spacing w:line="480" w:lineRule="auto"/>
        <w:rPr>
          <w:rFonts w:ascii="Garamond" w:hAnsi="Garamond" w:cs="Times New Roman"/>
        </w:rPr>
      </w:pPr>
      <w:r>
        <w:rPr>
          <w:rFonts w:ascii="Garamond" w:hAnsi="Garamond" w:cs="Times New Roman"/>
        </w:rPr>
        <w:t xml:space="preserve">Table </w:t>
      </w:r>
      <w:r w:rsidR="00145CBF">
        <w:rPr>
          <w:rFonts w:ascii="Garamond" w:hAnsi="Garamond" w:cs="Times New Roman"/>
        </w:rPr>
        <w:t>4</w:t>
      </w:r>
      <w:r>
        <w:rPr>
          <w:rFonts w:ascii="Garamond" w:hAnsi="Garamond" w:cs="Times New Roman"/>
        </w:rPr>
        <w:t xml:space="preserve"> presents the results from estimating Model 3.2 on residential mobility. We find that the log of new cases per million has a significant positive on residential mobility, which implies that higher </w:t>
      </w:r>
      <w:r>
        <w:rPr>
          <w:rFonts w:ascii="Garamond" w:hAnsi="Garamond" w:cs="Times New Roman"/>
        </w:rPr>
        <w:lastRenderedPageBreak/>
        <w:t>reported case</w:t>
      </w:r>
      <w:r w:rsidR="005414B6">
        <w:rPr>
          <w:rFonts w:ascii="Garamond" w:hAnsi="Garamond" w:cs="Times New Roman"/>
        </w:rPr>
        <w:t xml:space="preserve">s </w:t>
      </w:r>
      <w:r>
        <w:rPr>
          <w:rFonts w:ascii="Garamond" w:hAnsi="Garamond" w:cs="Times New Roman"/>
        </w:rPr>
        <w:t>lead to population</w:t>
      </w:r>
      <w:r w:rsidR="005414B6">
        <w:rPr>
          <w:rFonts w:ascii="Garamond" w:hAnsi="Garamond" w:cs="Times New Roman"/>
        </w:rPr>
        <w:t>s</w:t>
      </w:r>
      <w:r>
        <w:rPr>
          <w:rFonts w:ascii="Garamond" w:hAnsi="Garamond" w:cs="Times New Roman"/>
        </w:rPr>
        <w:t xml:space="preserve"> spending more time at home. The coefficient for the interaction with days elapsed is significant and negative, indicating that this effect weakens over time; the coefficient of the interaction with the square of days elapsed is also significant and positive, indicating that the effect follows a parabolic shape. The controls for policy stringency and month fixed effects are also significant. </w:t>
      </w:r>
    </w:p>
    <w:p w14:paraId="726E3FC0" w14:textId="01D83DE2" w:rsidR="00320922" w:rsidRDefault="00320922" w:rsidP="00320922">
      <w:pPr>
        <w:spacing w:line="480" w:lineRule="auto"/>
        <w:rPr>
          <w:rFonts w:ascii="Garamond" w:hAnsi="Garamond" w:cs="Times New Roman"/>
        </w:rPr>
      </w:pPr>
      <w:r>
        <w:rPr>
          <w:rFonts w:ascii="Garamond" w:hAnsi="Garamond" w:cs="Times New Roman"/>
        </w:rPr>
        <w:tab/>
        <w:t>For non-residential mobility, we again observe the corresponding opposite effects. Every non-residential mobility index on which we regressed Model 3.2 yielded a</w:t>
      </w:r>
      <w:r w:rsidR="00D31552">
        <w:rPr>
          <w:rFonts w:ascii="Garamond" w:hAnsi="Garamond" w:cs="Times New Roman"/>
        </w:rPr>
        <w:t xml:space="preserve"> negative coefficient for log of new cases per million, a positive coefficient for the interaction with days elapsed, and a negative coefficient for the interaction with the square of days elapsed. These coefficients were significant at the 5% level for the grocery and pharmacy sector, and significant at the 1% level for every other sector excluding parks (for which none of the coefficients with new cases were significant). The results indicate that our conclusion that higher new </w:t>
      </w:r>
      <w:r w:rsidR="005414B6">
        <w:rPr>
          <w:rFonts w:ascii="Garamond" w:hAnsi="Garamond" w:cs="Times New Roman"/>
        </w:rPr>
        <w:t>reported cases</w:t>
      </w:r>
      <w:r w:rsidR="00D31552">
        <w:rPr>
          <w:rFonts w:ascii="Garamond" w:hAnsi="Garamond" w:cs="Times New Roman"/>
        </w:rPr>
        <w:t xml:space="preserve"> in a country lead to a decrease in population mobility, an effect which lessons over time, is robust to different measures of mobility. The exception of park mobility in these results provide further evidence that </w:t>
      </w:r>
      <w:r>
        <w:rPr>
          <w:rFonts w:ascii="Garamond" w:hAnsi="Garamond" w:cs="Times New Roman"/>
        </w:rPr>
        <w:t>changes in park mobility are primarily due to seasonal changes and not COVID-19 effects.</w:t>
      </w:r>
    </w:p>
    <w:p w14:paraId="7007D16D" w14:textId="1EED1108" w:rsidR="00AC5C62" w:rsidRDefault="00320922" w:rsidP="00320922">
      <w:pPr>
        <w:spacing w:line="480" w:lineRule="auto"/>
        <w:rPr>
          <w:rFonts w:ascii="Garamond" w:hAnsi="Garamond" w:cs="Times New Roman"/>
        </w:rPr>
      </w:pPr>
      <w:r>
        <w:rPr>
          <w:rFonts w:ascii="Garamond" w:hAnsi="Garamond" w:cs="Times New Roman"/>
        </w:rPr>
        <w:tab/>
        <w:t xml:space="preserve">We then present the marginal effects of </w:t>
      </w:r>
      <w:r w:rsidR="00D31552">
        <w:rPr>
          <w:rFonts w:ascii="Garamond" w:hAnsi="Garamond" w:cs="Times New Roman"/>
        </w:rPr>
        <w:t>the log of new cases of COVID-19</w:t>
      </w:r>
      <w:r>
        <w:rPr>
          <w:rFonts w:ascii="Garamond" w:hAnsi="Garamond" w:cs="Times New Roman"/>
        </w:rPr>
        <w:t xml:space="preserve"> on residential mobility in Figure </w:t>
      </w:r>
      <w:r w:rsidR="004B22BD">
        <w:rPr>
          <w:rFonts w:ascii="Garamond" w:hAnsi="Garamond" w:cs="Times New Roman"/>
        </w:rPr>
        <w:t>6</w:t>
      </w:r>
      <w:r>
        <w:rPr>
          <w:rFonts w:ascii="Garamond" w:hAnsi="Garamond" w:cs="Times New Roman"/>
        </w:rPr>
        <w:t xml:space="preserve">. Each coefficient corresponds to the marginal effect of </w:t>
      </w:r>
      <w:r w:rsidR="00AC5C62">
        <w:rPr>
          <w:rFonts w:ascii="Garamond" w:hAnsi="Garamond" w:cs="Times New Roman"/>
        </w:rPr>
        <w:t>the log of new cases per million, which is</w:t>
      </w:r>
      <w:r>
        <w:rPr>
          <w:rFonts w:ascii="Garamond" w:hAnsi="Garamond" w:cs="Times New Roman"/>
        </w:rPr>
        <w:t xml:space="preserve"> calculated every 20 days from the start of the epidemic in each country for 160 days. </w:t>
      </w:r>
      <w:r w:rsidR="00AC5C62">
        <w:rPr>
          <w:rFonts w:ascii="Garamond" w:hAnsi="Garamond" w:cs="Times New Roman"/>
        </w:rPr>
        <w:t xml:space="preserve">Once again, we see significant positive effects that lessen over time, but which become insignificant earlier than policy stringency does. Although the positive marginal effect of new cases on residential mobility is significant at the 1% level until 60 days after the start of the pandemic, by 80 elapsed days the effect is insignificant. </w:t>
      </w:r>
    </w:p>
    <w:p w14:paraId="417A7470" w14:textId="5988F9AC" w:rsidR="00AD7857" w:rsidRPr="00813173" w:rsidRDefault="00AC5C62" w:rsidP="00AD7857">
      <w:pPr>
        <w:spacing w:line="480" w:lineRule="auto"/>
        <w:rPr>
          <w:rFonts w:ascii="Garamond" w:hAnsi="Garamond" w:cs="Times New Roman"/>
        </w:rPr>
      </w:pPr>
      <w:r>
        <w:rPr>
          <w:rFonts w:ascii="Garamond" w:hAnsi="Garamond" w:cs="Times New Roman"/>
        </w:rPr>
        <w:tab/>
        <w:t xml:space="preserve">For non-residential mobility, we begin by analyzing the marginal effect of new cases on retail mobility. We observe significant negative marginal effects at the 1% level until 60 elapsed days, </w:t>
      </w:r>
      <w:r>
        <w:rPr>
          <w:rFonts w:ascii="Garamond" w:hAnsi="Garamond" w:cs="Times New Roman"/>
        </w:rPr>
        <w:lastRenderedPageBreak/>
        <w:t xml:space="preserve">which become insignificant from 80 through 140 days, and once again become significant at 160 elapsed days at the 10% level. This corresponds to the parabolic shape we observe in Figure </w:t>
      </w:r>
      <w:r w:rsidR="004B22BD">
        <w:rPr>
          <w:rFonts w:ascii="Garamond" w:hAnsi="Garamond" w:cs="Times New Roman"/>
        </w:rPr>
        <w:t>6</w:t>
      </w:r>
      <w:r>
        <w:rPr>
          <w:rFonts w:ascii="Garamond" w:hAnsi="Garamond" w:cs="Times New Roman"/>
        </w:rPr>
        <w:t xml:space="preserve"> due to the significance of the interactions between new cases, days elapsed, and days elapsed squared. </w:t>
      </w:r>
      <w:r w:rsidR="002831DB">
        <w:rPr>
          <w:rFonts w:ascii="Garamond" w:hAnsi="Garamond" w:cs="Times New Roman"/>
        </w:rPr>
        <w:t xml:space="preserve">The secondary significance period likely </w:t>
      </w:r>
      <w:r w:rsidR="00A70486">
        <w:rPr>
          <w:rFonts w:ascii="Garamond" w:hAnsi="Garamond" w:cs="Times New Roman"/>
        </w:rPr>
        <w:t xml:space="preserve">represents renewed fear of the virus due </w:t>
      </w:r>
      <w:r w:rsidR="002831DB">
        <w:rPr>
          <w:rFonts w:ascii="Garamond" w:hAnsi="Garamond" w:cs="Times New Roman"/>
        </w:rPr>
        <w:t xml:space="preserve">to </w:t>
      </w:r>
      <w:r w:rsidR="009F7410">
        <w:rPr>
          <w:rFonts w:ascii="Garamond" w:hAnsi="Garamond" w:cs="Times New Roman"/>
        </w:rPr>
        <w:t>the</w:t>
      </w:r>
      <w:r w:rsidR="00A70486">
        <w:rPr>
          <w:rFonts w:ascii="Garamond" w:hAnsi="Garamond" w:cs="Times New Roman"/>
        </w:rPr>
        <w:t xml:space="preserve"> second wave of rising case numbers</w:t>
      </w:r>
      <w:r w:rsidR="009F7410">
        <w:rPr>
          <w:rFonts w:ascii="Garamond" w:hAnsi="Garamond" w:cs="Times New Roman"/>
        </w:rPr>
        <w:t xml:space="preserve"> observed in Figure 2</w:t>
      </w:r>
      <w:r w:rsidR="00A70486">
        <w:rPr>
          <w:rFonts w:ascii="Garamond" w:hAnsi="Garamond" w:cs="Times New Roman"/>
        </w:rPr>
        <w:t xml:space="preserve">. </w:t>
      </w:r>
      <w:r>
        <w:rPr>
          <w:rFonts w:ascii="Garamond" w:hAnsi="Garamond" w:cs="Times New Roman"/>
        </w:rPr>
        <w:t>For the grocery and pharmacy sector</w:t>
      </w:r>
      <w:r w:rsidR="008F27D3">
        <w:rPr>
          <w:rFonts w:ascii="Garamond" w:hAnsi="Garamond" w:cs="Times New Roman"/>
        </w:rPr>
        <w:t>,</w:t>
      </w:r>
      <w:r w:rsidR="00A70486">
        <w:rPr>
          <w:rFonts w:ascii="Garamond" w:hAnsi="Garamond" w:cs="Times New Roman"/>
        </w:rPr>
        <w:t xml:space="preserve"> we observe a similar effect. T</w:t>
      </w:r>
      <w:r>
        <w:rPr>
          <w:rFonts w:ascii="Garamond" w:hAnsi="Garamond" w:cs="Times New Roman"/>
        </w:rPr>
        <w:t xml:space="preserve">he marginal effect of new cases is only significant at the 5% level through 20 elapsed days, and </w:t>
      </w:r>
      <w:r w:rsidR="008F27D3">
        <w:rPr>
          <w:rFonts w:ascii="Garamond" w:hAnsi="Garamond" w:cs="Times New Roman"/>
        </w:rPr>
        <w:t xml:space="preserve">it </w:t>
      </w:r>
      <w:r>
        <w:rPr>
          <w:rFonts w:ascii="Garamond" w:hAnsi="Garamond" w:cs="Times New Roman"/>
        </w:rPr>
        <w:t>once again becomes significant after 140 elapsed days.</w:t>
      </w:r>
      <w:r w:rsidR="00F37247">
        <w:rPr>
          <w:rFonts w:ascii="Garamond" w:hAnsi="Garamond" w:cs="Times New Roman"/>
        </w:rPr>
        <w:t xml:space="preserve"> The negative marginal effects on transit mobility are significant for 60 elapsed days, and there are briefly significant positive marginal effects observed 100 days after the start of the pandemic</w:t>
      </w:r>
      <w:r w:rsidR="008F27D3">
        <w:rPr>
          <w:rFonts w:ascii="Garamond" w:hAnsi="Garamond" w:cs="Times New Roman"/>
        </w:rPr>
        <w:t xml:space="preserve">. Once </w:t>
      </w:r>
      <w:proofErr w:type="gramStart"/>
      <w:r w:rsidR="008F27D3">
        <w:rPr>
          <w:rFonts w:ascii="Garamond" w:hAnsi="Garamond" w:cs="Times New Roman"/>
        </w:rPr>
        <w:t>again</w:t>
      </w:r>
      <w:proofErr w:type="gramEnd"/>
      <w:r w:rsidR="008F27D3">
        <w:rPr>
          <w:rFonts w:ascii="Garamond" w:hAnsi="Garamond" w:cs="Times New Roman"/>
        </w:rPr>
        <w:t xml:space="preserve"> we</w:t>
      </w:r>
      <w:r w:rsidR="00145CBF">
        <w:rPr>
          <w:rFonts w:ascii="Garamond" w:hAnsi="Garamond" w:cs="Times New Roman"/>
        </w:rPr>
        <w:t xml:space="preserve"> find</w:t>
      </w:r>
      <w:r w:rsidR="008F27D3">
        <w:rPr>
          <w:rFonts w:ascii="Garamond" w:hAnsi="Garamond" w:cs="Times New Roman"/>
        </w:rPr>
        <w:t xml:space="preserve"> </w:t>
      </w:r>
      <w:r w:rsidR="00F37247">
        <w:rPr>
          <w:rFonts w:ascii="Garamond" w:hAnsi="Garamond" w:cs="Times New Roman"/>
        </w:rPr>
        <w:t xml:space="preserve">significant </w:t>
      </w:r>
      <w:r w:rsidR="008F27D3">
        <w:rPr>
          <w:rFonts w:ascii="Garamond" w:hAnsi="Garamond" w:cs="Times New Roman"/>
        </w:rPr>
        <w:t xml:space="preserve">negative </w:t>
      </w:r>
      <w:r w:rsidR="00F37247">
        <w:rPr>
          <w:rFonts w:ascii="Garamond" w:hAnsi="Garamond" w:cs="Times New Roman"/>
        </w:rPr>
        <w:t>marginal effects 160 days after the pandemic.</w:t>
      </w:r>
      <w:r w:rsidR="00C36F24">
        <w:rPr>
          <w:rFonts w:ascii="Garamond" w:hAnsi="Garamond" w:cs="Times New Roman"/>
        </w:rPr>
        <w:t xml:space="preserve"> The positive observed effect at 100 days is barely significant at the 5% level (p = .049), and due to the absence of significant positive marginal effects in other non-residential mobility sectors, we believe that this to be a fluke of the data and therefore does not have significant implications for our findings. The marginal effects of new cases on workplace mobility are significant and negative up until 60 elapsed days, but insignificant beyond that. None of the marginal effects on park mobility were significant.</w:t>
      </w:r>
      <w:r w:rsidR="002831DB">
        <w:rPr>
          <w:rFonts w:ascii="Garamond" w:hAnsi="Garamond" w:cs="Times New Roman"/>
        </w:rPr>
        <w:t xml:space="preserve"> </w:t>
      </w:r>
    </w:p>
    <w:p w14:paraId="11D1C209" w14:textId="77777777" w:rsidR="00AD7857" w:rsidRPr="00813173" w:rsidRDefault="00AD7857" w:rsidP="00AD7857">
      <w:pPr>
        <w:spacing w:line="480" w:lineRule="auto"/>
        <w:rPr>
          <w:rFonts w:ascii="Garamond" w:hAnsi="Garamond" w:cs="Times New Roman"/>
        </w:rPr>
      </w:pPr>
    </w:p>
    <w:p w14:paraId="370D827A" w14:textId="77777777" w:rsidR="00AD7857" w:rsidRPr="00C2470B" w:rsidRDefault="00AD7857" w:rsidP="00AD7857">
      <w:pPr>
        <w:pStyle w:val="ListParagraph"/>
        <w:numPr>
          <w:ilvl w:val="0"/>
          <w:numId w:val="1"/>
        </w:numPr>
        <w:spacing w:line="480" w:lineRule="auto"/>
        <w:rPr>
          <w:rFonts w:ascii="Garamond" w:hAnsi="Garamond" w:cs="Times New Roman"/>
          <w:b/>
          <w:sz w:val="32"/>
          <w:szCs w:val="28"/>
        </w:rPr>
      </w:pPr>
      <w:r w:rsidRPr="00C2470B">
        <w:rPr>
          <w:rFonts w:ascii="Garamond" w:hAnsi="Garamond" w:cs="Times New Roman"/>
          <w:b/>
          <w:sz w:val="32"/>
          <w:szCs w:val="28"/>
        </w:rPr>
        <w:t>Conclusion</w:t>
      </w:r>
    </w:p>
    <w:p w14:paraId="100A0C73" w14:textId="23C44EE2" w:rsidR="005414B6" w:rsidRPr="005414B6" w:rsidRDefault="009F7410" w:rsidP="005414B6">
      <w:pPr>
        <w:spacing w:line="480" w:lineRule="auto"/>
        <w:ind w:firstLine="360"/>
        <w:rPr>
          <w:rFonts w:ascii="Garamond" w:hAnsi="Garamond" w:cs="Times New Roman"/>
        </w:rPr>
      </w:pPr>
      <w:r>
        <w:rPr>
          <w:rFonts w:ascii="Garamond" w:hAnsi="Garamond" w:cs="Times New Roman"/>
        </w:rPr>
        <w:t xml:space="preserve">Population mobility during the COVID-19 pandemic has been influenced by a variety of factors. A key </w:t>
      </w:r>
      <w:r w:rsidR="008F27D3">
        <w:rPr>
          <w:rFonts w:ascii="Garamond" w:hAnsi="Garamond" w:cs="Times New Roman"/>
        </w:rPr>
        <w:t>task</w:t>
      </w:r>
      <w:r>
        <w:rPr>
          <w:rFonts w:ascii="Garamond" w:hAnsi="Garamond" w:cs="Times New Roman"/>
        </w:rPr>
        <w:t xml:space="preserve"> for policymakers during this time i</w:t>
      </w:r>
      <w:r w:rsidR="00AE3E25">
        <w:rPr>
          <w:rFonts w:ascii="Garamond" w:hAnsi="Garamond" w:cs="Times New Roman"/>
        </w:rPr>
        <w:t xml:space="preserve">s </w:t>
      </w:r>
      <w:r w:rsidR="008F27D3">
        <w:rPr>
          <w:rFonts w:ascii="Garamond" w:hAnsi="Garamond" w:cs="Times New Roman"/>
        </w:rPr>
        <w:t>to figure</w:t>
      </w:r>
      <w:r w:rsidR="00AE3E25">
        <w:rPr>
          <w:rFonts w:ascii="Garamond" w:hAnsi="Garamond" w:cs="Times New Roman"/>
        </w:rPr>
        <w:t xml:space="preserve"> out a clear picture of the effects of policy stringency on population behavior and, through that, the spread of the virus. Previous studies have already established that lower population mobility reduces the spread of the virus. This paper contributes answering </w:t>
      </w:r>
      <w:r w:rsidR="008F27D3">
        <w:rPr>
          <w:rFonts w:ascii="Garamond" w:hAnsi="Garamond" w:cs="Times New Roman"/>
        </w:rPr>
        <w:t>aiding the policymakers’ task</w:t>
      </w:r>
      <w:r w:rsidR="00AE3E25">
        <w:rPr>
          <w:rFonts w:ascii="Garamond" w:hAnsi="Garamond" w:cs="Times New Roman"/>
        </w:rPr>
        <w:t xml:space="preserve"> by presenting a model of the marginal effects of policy stringency and new cases on mobility measures over time. Our f</w:t>
      </w:r>
      <w:r w:rsidR="009A5101">
        <w:rPr>
          <w:rFonts w:ascii="Garamond" w:hAnsi="Garamond" w:cs="Times New Roman"/>
        </w:rPr>
        <w:t>indings establish that there is a critical window after policy implementation where marginal effects are strongest,</w:t>
      </w:r>
      <w:r w:rsidR="00AE3E25">
        <w:rPr>
          <w:rFonts w:ascii="Garamond" w:hAnsi="Garamond" w:cs="Times New Roman"/>
        </w:rPr>
        <w:t xml:space="preserve"> and they weaken </w:t>
      </w:r>
      <w:r w:rsidR="00AE3E25">
        <w:rPr>
          <w:rFonts w:ascii="Garamond" w:hAnsi="Garamond" w:cs="Times New Roman"/>
        </w:rPr>
        <w:lastRenderedPageBreak/>
        <w:t>as time goes on until they become insignificant after a period of about 140 days.</w:t>
      </w:r>
      <w:r w:rsidR="004B22BD">
        <w:rPr>
          <w:rFonts w:ascii="Garamond" w:hAnsi="Garamond" w:cs="Times New Roman"/>
        </w:rPr>
        <w:t xml:space="preserve"> This is consistent with the theory that populations experience “quarantine fatigue” in which the desire to restrict mobility lessens over time.</w:t>
      </w:r>
      <w:r w:rsidR="00F64E54">
        <w:rPr>
          <w:rFonts w:ascii="Garamond" w:hAnsi="Garamond" w:cs="Times New Roman"/>
        </w:rPr>
        <w:t xml:space="preserve"> We also found that the responsiveness of population mobility to number of new cases is strongest at the beginning of the pandemic, dwindles until it is no longer significant after a period of about </w:t>
      </w:r>
      <w:r w:rsidR="007D5E10">
        <w:rPr>
          <w:rFonts w:ascii="Garamond" w:hAnsi="Garamond" w:cs="Times New Roman"/>
        </w:rPr>
        <w:t xml:space="preserve">80 days, and rises again after about 160 days. The findings are consistent with the hypothesis that mobility is a function of fear, and higher case </w:t>
      </w:r>
      <w:r w:rsidR="00C2470B">
        <w:rPr>
          <w:rFonts w:ascii="Garamond" w:hAnsi="Garamond" w:cs="Times New Roman"/>
        </w:rPr>
        <w:t>reports</w:t>
      </w:r>
      <w:r w:rsidR="007D5E10">
        <w:rPr>
          <w:rFonts w:ascii="Garamond" w:hAnsi="Garamond" w:cs="Times New Roman"/>
        </w:rPr>
        <w:t xml:space="preserve"> incite more fear of contagion that leads to a reduction in population mobility. We observe the marginal effect of new cases per </w:t>
      </w:r>
      <w:r w:rsidR="007D5E10" w:rsidRPr="005414B6">
        <w:rPr>
          <w:rFonts w:ascii="Garamond" w:hAnsi="Garamond" w:cs="Times New Roman"/>
        </w:rPr>
        <w:t>million on mobility appears to rise and fall with the number of new cases observed.</w:t>
      </w:r>
    </w:p>
    <w:p w14:paraId="60E7437A" w14:textId="7B484951" w:rsidR="005414B6" w:rsidRPr="005414B6" w:rsidRDefault="005414B6" w:rsidP="005414B6">
      <w:pPr>
        <w:spacing w:line="480" w:lineRule="auto"/>
        <w:ind w:firstLine="360"/>
        <w:rPr>
          <w:rFonts w:ascii="Garamond" w:hAnsi="Garamond" w:cs="Times New Roman"/>
        </w:rPr>
      </w:pPr>
      <w:r w:rsidRPr="005414B6">
        <w:rPr>
          <w:rFonts w:ascii="Garamond" w:hAnsi="Garamond" w:cs="AppleSystemUIFont"/>
        </w:rPr>
        <w:t xml:space="preserve">If, as </w:t>
      </w:r>
      <w:proofErr w:type="spellStart"/>
      <w:r w:rsidRPr="005414B6">
        <w:rPr>
          <w:rFonts w:ascii="Garamond" w:hAnsi="Garamond" w:cs="AppleSystemUIFont"/>
        </w:rPr>
        <w:t>Askitas</w:t>
      </w:r>
      <w:proofErr w:type="spellEnd"/>
      <w:r w:rsidRPr="005414B6">
        <w:rPr>
          <w:rFonts w:ascii="Garamond" w:hAnsi="Garamond" w:cs="AppleSystemUIFont"/>
        </w:rPr>
        <w:t xml:space="preserve">, </w:t>
      </w:r>
      <w:proofErr w:type="spellStart"/>
      <w:r w:rsidRPr="005414B6">
        <w:rPr>
          <w:rFonts w:ascii="Garamond" w:hAnsi="Garamond" w:cs="AppleSystemUIFont"/>
        </w:rPr>
        <w:t>Tatsiramos</w:t>
      </w:r>
      <w:proofErr w:type="spellEnd"/>
      <w:r w:rsidRPr="005414B6">
        <w:rPr>
          <w:rFonts w:ascii="Garamond" w:hAnsi="Garamond" w:cs="AppleSystemUIFont"/>
        </w:rPr>
        <w:t xml:space="preserve"> and </w:t>
      </w:r>
      <w:proofErr w:type="spellStart"/>
      <w:r w:rsidRPr="005414B6">
        <w:rPr>
          <w:rFonts w:ascii="Garamond" w:hAnsi="Garamond" w:cs="AppleSystemUIFont"/>
        </w:rPr>
        <w:t>Verheyden</w:t>
      </w:r>
      <w:proofErr w:type="spellEnd"/>
      <w:r w:rsidRPr="005414B6">
        <w:rPr>
          <w:rFonts w:ascii="Garamond" w:hAnsi="Garamond" w:cs="AppleSystemUIFont"/>
        </w:rPr>
        <w:t xml:space="preserve"> suggest, mobility data can be interpreted “as a measure of compliance to the policies introduced,” then we can interpret our findings as evidence that compliance with lockdown policy measures weakens over time. Our findings concerning the marginal effects of reported cases imply that rising European case counts in July and August are already causing a statistically significant reduction in population mobility. We discovered that population responsiveness to government policy was highest at the start of the epidemic. Further research may compare viral spread in countries that implemented stringent policy at the start of a “second wave” of the pandemic to those that did not.</w:t>
      </w:r>
    </w:p>
    <w:p w14:paraId="4AA3AB75" w14:textId="69C2FD76" w:rsidR="00AD7857" w:rsidRDefault="00AD7857" w:rsidP="00AD7857">
      <w:pPr>
        <w:spacing w:line="480" w:lineRule="auto"/>
        <w:rPr>
          <w:rFonts w:ascii="Garamond" w:hAnsi="Garamond" w:cs="Times New Roman"/>
        </w:rPr>
      </w:pPr>
    </w:p>
    <w:p w14:paraId="78828BC7" w14:textId="4339516C" w:rsidR="00C2470B" w:rsidRDefault="00C2470B" w:rsidP="00AD7857">
      <w:pPr>
        <w:spacing w:line="480" w:lineRule="auto"/>
        <w:rPr>
          <w:rFonts w:ascii="Garamond" w:hAnsi="Garamond" w:cs="Times New Roman"/>
        </w:rPr>
      </w:pPr>
    </w:p>
    <w:p w14:paraId="08F56717" w14:textId="4980A270" w:rsidR="00C2470B" w:rsidRDefault="00C2470B" w:rsidP="00AD7857">
      <w:pPr>
        <w:spacing w:line="480" w:lineRule="auto"/>
        <w:rPr>
          <w:rFonts w:ascii="Garamond" w:hAnsi="Garamond" w:cs="Times New Roman"/>
        </w:rPr>
      </w:pPr>
    </w:p>
    <w:p w14:paraId="66E48EA8" w14:textId="6941B96A" w:rsidR="00C2470B" w:rsidRDefault="00C2470B" w:rsidP="00AD7857">
      <w:pPr>
        <w:spacing w:line="480" w:lineRule="auto"/>
        <w:rPr>
          <w:rFonts w:ascii="Garamond" w:hAnsi="Garamond" w:cs="Times New Roman"/>
        </w:rPr>
      </w:pPr>
    </w:p>
    <w:p w14:paraId="1973176A" w14:textId="6F55F34E" w:rsidR="00C2470B" w:rsidRDefault="00C2470B" w:rsidP="00AD7857">
      <w:pPr>
        <w:spacing w:line="480" w:lineRule="auto"/>
        <w:rPr>
          <w:rFonts w:ascii="Garamond" w:hAnsi="Garamond" w:cs="Times New Roman"/>
        </w:rPr>
      </w:pPr>
    </w:p>
    <w:p w14:paraId="4F63E136" w14:textId="45C3A16B" w:rsidR="00C2470B" w:rsidRDefault="00C2470B" w:rsidP="00AD7857">
      <w:pPr>
        <w:spacing w:line="480" w:lineRule="auto"/>
        <w:rPr>
          <w:rFonts w:ascii="Garamond" w:hAnsi="Garamond" w:cs="Times New Roman"/>
        </w:rPr>
      </w:pPr>
    </w:p>
    <w:p w14:paraId="6DB6C163" w14:textId="3D12E927" w:rsidR="00C2470B" w:rsidRDefault="00C2470B" w:rsidP="00AD7857">
      <w:pPr>
        <w:spacing w:line="480" w:lineRule="auto"/>
        <w:rPr>
          <w:rFonts w:ascii="Garamond" w:hAnsi="Garamond" w:cs="Times New Roman"/>
        </w:rPr>
      </w:pPr>
    </w:p>
    <w:p w14:paraId="198747B9" w14:textId="77777777" w:rsidR="008F27D3" w:rsidRDefault="008F27D3" w:rsidP="00AD7857">
      <w:pPr>
        <w:spacing w:line="480" w:lineRule="auto"/>
        <w:rPr>
          <w:rFonts w:ascii="Garamond" w:hAnsi="Garamond" w:cs="Times New Roman"/>
        </w:rPr>
      </w:pPr>
    </w:p>
    <w:p w14:paraId="273707DC" w14:textId="25454FC6" w:rsidR="00320922" w:rsidRPr="00C2470B" w:rsidRDefault="00320922" w:rsidP="00320922">
      <w:pPr>
        <w:spacing w:line="480" w:lineRule="auto"/>
        <w:rPr>
          <w:rFonts w:ascii="Garamond" w:hAnsi="Garamond" w:cs="Times New Roman"/>
          <w:b/>
          <w:sz w:val="32"/>
          <w:szCs w:val="28"/>
        </w:rPr>
      </w:pPr>
      <w:r w:rsidRPr="00C2470B">
        <w:rPr>
          <w:rFonts w:ascii="Garamond" w:hAnsi="Garamond" w:cs="Times New Roman"/>
          <w:b/>
          <w:sz w:val="32"/>
          <w:szCs w:val="28"/>
        </w:rPr>
        <w:lastRenderedPageBreak/>
        <w:t>References</w:t>
      </w:r>
    </w:p>
    <w:p w14:paraId="406F4E80" w14:textId="09A350D6" w:rsidR="002831DB" w:rsidRPr="008F27D3" w:rsidRDefault="008F27D3" w:rsidP="008F27D3">
      <w:pPr>
        <w:pStyle w:val="NormalWeb"/>
        <w:ind w:left="567" w:hanging="567"/>
        <w:rPr>
          <w:rFonts w:ascii="Garamond" w:hAnsi="Garamond"/>
          <w:color w:val="000000"/>
        </w:rPr>
      </w:pPr>
      <w:proofErr w:type="spellStart"/>
      <w:r w:rsidRPr="002831DB">
        <w:rPr>
          <w:rFonts w:ascii="Garamond" w:hAnsi="Garamond"/>
          <w:color w:val="000000"/>
        </w:rPr>
        <w:t>Askitas</w:t>
      </w:r>
      <w:proofErr w:type="spellEnd"/>
      <w:r w:rsidRPr="002831DB">
        <w:rPr>
          <w:rFonts w:ascii="Garamond" w:hAnsi="Garamond"/>
          <w:color w:val="000000"/>
        </w:rPr>
        <w:t xml:space="preserve">, Nikos and </w:t>
      </w:r>
      <w:proofErr w:type="spellStart"/>
      <w:r w:rsidRPr="002831DB">
        <w:rPr>
          <w:rFonts w:ascii="Garamond" w:hAnsi="Garamond"/>
          <w:color w:val="000000"/>
        </w:rPr>
        <w:t>Tatsiramos</w:t>
      </w:r>
      <w:proofErr w:type="spellEnd"/>
      <w:r w:rsidRPr="002831DB">
        <w:rPr>
          <w:rFonts w:ascii="Garamond" w:hAnsi="Garamond"/>
          <w:color w:val="000000"/>
        </w:rPr>
        <w:t xml:space="preserve">, Konstantinos and </w:t>
      </w:r>
      <w:proofErr w:type="spellStart"/>
      <w:r w:rsidRPr="002831DB">
        <w:rPr>
          <w:rFonts w:ascii="Garamond" w:hAnsi="Garamond"/>
          <w:color w:val="000000"/>
        </w:rPr>
        <w:t>Verheyden</w:t>
      </w:r>
      <w:proofErr w:type="spellEnd"/>
      <w:r w:rsidRPr="002831DB">
        <w:rPr>
          <w:rFonts w:ascii="Garamond" w:hAnsi="Garamond"/>
          <w:color w:val="000000"/>
        </w:rPr>
        <w:t xml:space="preserve">, Bertrand, Lockdown Strategies, Mobility Patterns and Covid-19. IZA Discussion Paper No. 13293, Available at SSRN: </w:t>
      </w:r>
      <w:hyperlink r:id="rId7" w:history="1">
        <w:r w:rsidRPr="002831DB">
          <w:rPr>
            <w:rStyle w:val="Hyperlink"/>
            <w:rFonts w:ascii="Garamond" w:hAnsi="Garamond"/>
          </w:rPr>
          <w:t>https://ssrn.com/abstract=3614241</w:t>
        </w:r>
      </w:hyperlink>
      <w:r w:rsidRPr="002831DB">
        <w:rPr>
          <w:rFonts w:ascii="Garamond" w:hAnsi="Garamond"/>
          <w:color w:val="000000"/>
        </w:rPr>
        <w:t xml:space="preserve"> </w:t>
      </w:r>
    </w:p>
    <w:p w14:paraId="74C54C68" w14:textId="77777777" w:rsidR="002831DB" w:rsidRPr="002831DB" w:rsidRDefault="002831DB" w:rsidP="002831DB">
      <w:pPr>
        <w:pStyle w:val="NormalWeb"/>
        <w:ind w:left="567" w:hanging="567"/>
        <w:rPr>
          <w:rFonts w:ascii="Garamond" w:hAnsi="Garamond"/>
          <w:color w:val="000000"/>
        </w:rPr>
      </w:pPr>
      <w:proofErr w:type="spellStart"/>
      <w:r w:rsidRPr="002831DB">
        <w:rPr>
          <w:rFonts w:ascii="Garamond" w:hAnsi="Garamond"/>
          <w:color w:val="000000"/>
        </w:rPr>
        <w:t>Badr</w:t>
      </w:r>
      <w:proofErr w:type="spellEnd"/>
      <w:r w:rsidRPr="002831DB">
        <w:rPr>
          <w:rFonts w:ascii="Garamond" w:hAnsi="Garamond"/>
          <w:color w:val="000000"/>
        </w:rPr>
        <w:t xml:space="preserve">, Hamada S, et al. “Association between Mobility Patterns and COVID-19 Transmission in the USA: </w:t>
      </w:r>
      <w:proofErr w:type="gramStart"/>
      <w:r w:rsidRPr="002831DB">
        <w:rPr>
          <w:rFonts w:ascii="Garamond" w:hAnsi="Garamond"/>
          <w:color w:val="000000"/>
        </w:rPr>
        <w:t>a</w:t>
      </w:r>
      <w:proofErr w:type="gramEnd"/>
      <w:r w:rsidRPr="002831DB">
        <w:rPr>
          <w:rFonts w:ascii="Garamond" w:hAnsi="Garamond"/>
          <w:color w:val="000000"/>
        </w:rPr>
        <w:t xml:space="preserve"> Mathematical Modelling Study.”</w:t>
      </w:r>
      <w:r w:rsidRPr="002831DB">
        <w:rPr>
          <w:rStyle w:val="apple-converted-space"/>
          <w:rFonts w:ascii="Garamond" w:hAnsi="Garamond"/>
          <w:color w:val="000000"/>
        </w:rPr>
        <w:t> </w:t>
      </w:r>
      <w:r w:rsidRPr="002831DB">
        <w:rPr>
          <w:rFonts w:ascii="Garamond" w:hAnsi="Garamond"/>
          <w:i/>
          <w:iCs/>
          <w:color w:val="000000"/>
        </w:rPr>
        <w:t>The Lancet Infectious Diseases</w:t>
      </w:r>
      <w:r w:rsidRPr="002831DB">
        <w:rPr>
          <w:rFonts w:ascii="Garamond" w:hAnsi="Garamond"/>
          <w:color w:val="000000"/>
        </w:rPr>
        <w:t>, 2020, doi:10.1016/s1473-3099(20)30553-3.</w:t>
      </w:r>
      <w:r w:rsidRPr="002831DB">
        <w:rPr>
          <w:rStyle w:val="apple-converted-space"/>
          <w:rFonts w:ascii="Garamond" w:hAnsi="Garamond"/>
          <w:color w:val="000000"/>
        </w:rPr>
        <w:t> </w:t>
      </w:r>
    </w:p>
    <w:p w14:paraId="18100AD4" w14:textId="1683C7D8" w:rsidR="00AD7857" w:rsidRDefault="00AD7857" w:rsidP="002831DB">
      <w:pPr>
        <w:spacing w:line="360" w:lineRule="auto"/>
        <w:rPr>
          <w:rFonts w:ascii="Garamond" w:hAnsi="Garamond" w:cs="Times New Roman"/>
        </w:rPr>
      </w:pPr>
    </w:p>
    <w:p w14:paraId="589675E5" w14:textId="1F35B686" w:rsidR="00C2470B" w:rsidRDefault="00C2470B" w:rsidP="002831DB">
      <w:pPr>
        <w:spacing w:line="360" w:lineRule="auto"/>
        <w:rPr>
          <w:rFonts w:ascii="Garamond" w:hAnsi="Garamond" w:cs="Times New Roman"/>
        </w:rPr>
      </w:pPr>
    </w:p>
    <w:p w14:paraId="6AA7EE78" w14:textId="47746FD9" w:rsidR="00C2470B" w:rsidRDefault="00C2470B" w:rsidP="002831DB">
      <w:pPr>
        <w:spacing w:line="360" w:lineRule="auto"/>
        <w:rPr>
          <w:rFonts w:ascii="Garamond" w:hAnsi="Garamond" w:cs="Times New Roman"/>
        </w:rPr>
      </w:pPr>
    </w:p>
    <w:p w14:paraId="58F3B424" w14:textId="1852C0E4" w:rsidR="00C2470B" w:rsidRDefault="00C2470B" w:rsidP="002831DB">
      <w:pPr>
        <w:spacing w:line="360" w:lineRule="auto"/>
        <w:rPr>
          <w:rFonts w:ascii="Garamond" w:hAnsi="Garamond" w:cs="Times New Roman"/>
        </w:rPr>
      </w:pPr>
    </w:p>
    <w:p w14:paraId="39BEAF50" w14:textId="63586AA6" w:rsidR="00C2470B" w:rsidRDefault="00C2470B" w:rsidP="002831DB">
      <w:pPr>
        <w:spacing w:line="360" w:lineRule="auto"/>
        <w:rPr>
          <w:rFonts w:ascii="Garamond" w:hAnsi="Garamond" w:cs="Times New Roman"/>
        </w:rPr>
      </w:pPr>
    </w:p>
    <w:p w14:paraId="5200534C" w14:textId="71886126" w:rsidR="00C2470B" w:rsidRDefault="00C2470B" w:rsidP="002831DB">
      <w:pPr>
        <w:spacing w:line="360" w:lineRule="auto"/>
        <w:rPr>
          <w:rFonts w:ascii="Garamond" w:hAnsi="Garamond" w:cs="Times New Roman"/>
        </w:rPr>
      </w:pPr>
    </w:p>
    <w:p w14:paraId="1803E724" w14:textId="68C71F20" w:rsidR="00C2470B" w:rsidRDefault="00C2470B" w:rsidP="002831DB">
      <w:pPr>
        <w:spacing w:line="360" w:lineRule="auto"/>
        <w:rPr>
          <w:rFonts w:ascii="Garamond" w:hAnsi="Garamond" w:cs="Times New Roman"/>
        </w:rPr>
      </w:pPr>
    </w:p>
    <w:p w14:paraId="3A0200AB" w14:textId="79E06520" w:rsidR="00C2470B" w:rsidRDefault="00C2470B" w:rsidP="002831DB">
      <w:pPr>
        <w:spacing w:line="360" w:lineRule="auto"/>
        <w:rPr>
          <w:rFonts w:ascii="Garamond" w:hAnsi="Garamond" w:cs="Times New Roman"/>
        </w:rPr>
      </w:pPr>
    </w:p>
    <w:p w14:paraId="309487FE" w14:textId="4D31EF6B" w:rsidR="00C2470B" w:rsidRDefault="00C2470B" w:rsidP="002831DB">
      <w:pPr>
        <w:spacing w:line="360" w:lineRule="auto"/>
        <w:rPr>
          <w:rFonts w:ascii="Garamond" w:hAnsi="Garamond" w:cs="Times New Roman"/>
        </w:rPr>
      </w:pPr>
    </w:p>
    <w:p w14:paraId="0FBAB50A" w14:textId="08BFF9F5" w:rsidR="00C2470B" w:rsidRDefault="00C2470B" w:rsidP="002831DB">
      <w:pPr>
        <w:spacing w:line="360" w:lineRule="auto"/>
        <w:rPr>
          <w:rFonts w:ascii="Garamond" w:hAnsi="Garamond" w:cs="Times New Roman"/>
        </w:rPr>
      </w:pPr>
    </w:p>
    <w:p w14:paraId="47E4DDC2" w14:textId="321C2655" w:rsidR="00C2470B" w:rsidRDefault="00C2470B" w:rsidP="002831DB">
      <w:pPr>
        <w:spacing w:line="360" w:lineRule="auto"/>
        <w:rPr>
          <w:rFonts w:ascii="Garamond" w:hAnsi="Garamond" w:cs="Times New Roman"/>
        </w:rPr>
      </w:pPr>
    </w:p>
    <w:p w14:paraId="7CF74FF6" w14:textId="36C37C57" w:rsidR="00C2470B" w:rsidRDefault="00C2470B" w:rsidP="002831DB">
      <w:pPr>
        <w:spacing w:line="360" w:lineRule="auto"/>
        <w:rPr>
          <w:rFonts w:ascii="Garamond" w:hAnsi="Garamond" w:cs="Times New Roman"/>
        </w:rPr>
      </w:pPr>
    </w:p>
    <w:p w14:paraId="0485E5B5" w14:textId="1FCA0AE7" w:rsidR="00C2470B" w:rsidRDefault="00C2470B" w:rsidP="002831DB">
      <w:pPr>
        <w:spacing w:line="360" w:lineRule="auto"/>
        <w:rPr>
          <w:rFonts w:ascii="Garamond" w:hAnsi="Garamond" w:cs="Times New Roman"/>
        </w:rPr>
      </w:pPr>
    </w:p>
    <w:p w14:paraId="2510F199" w14:textId="16113E78" w:rsidR="00C2470B" w:rsidRDefault="00C2470B" w:rsidP="002831DB">
      <w:pPr>
        <w:spacing w:line="360" w:lineRule="auto"/>
        <w:rPr>
          <w:rFonts w:ascii="Garamond" w:hAnsi="Garamond" w:cs="Times New Roman"/>
        </w:rPr>
      </w:pPr>
    </w:p>
    <w:p w14:paraId="2E964ACD" w14:textId="56C05FB5" w:rsidR="00C2470B" w:rsidRDefault="00C2470B" w:rsidP="002831DB">
      <w:pPr>
        <w:spacing w:line="360" w:lineRule="auto"/>
        <w:rPr>
          <w:rFonts w:ascii="Garamond" w:hAnsi="Garamond" w:cs="Times New Roman"/>
        </w:rPr>
      </w:pPr>
    </w:p>
    <w:p w14:paraId="2D24764D" w14:textId="6ADB2FC0" w:rsidR="00C2470B" w:rsidRDefault="00C2470B" w:rsidP="002831DB">
      <w:pPr>
        <w:spacing w:line="360" w:lineRule="auto"/>
        <w:rPr>
          <w:rFonts w:ascii="Garamond" w:hAnsi="Garamond" w:cs="Times New Roman"/>
        </w:rPr>
      </w:pPr>
    </w:p>
    <w:p w14:paraId="75C3D966" w14:textId="7578199C" w:rsidR="00C2470B" w:rsidRDefault="00C2470B" w:rsidP="002831DB">
      <w:pPr>
        <w:spacing w:line="360" w:lineRule="auto"/>
        <w:rPr>
          <w:rFonts w:ascii="Garamond" w:hAnsi="Garamond" w:cs="Times New Roman"/>
        </w:rPr>
      </w:pPr>
    </w:p>
    <w:p w14:paraId="1B7B63BE" w14:textId="67AE436B" w:rsidR="00C2470B" w:rsidRDefault="00C2470B" w:rsidP="002831DB">
      <w:pPr>
        <w:spacing w:line="360" w:lineRule="auto"/>
        <w:rPr>
          <w:rFonts w:ascii="Garamond" w:hAnsi="Garamond" w:cs="Times New Roman"/>
        </w:rPr>
      </w:pPr>
    </w:p>
    <w:p w14:paraId="235D4015" w14:textId="4B7021CC" w:rsidR="00C2470B" w:rsidRDefault="00C2470B" w:rsidP="002831DB">
      <w:pPr>
        <w:spacing w:line="360" w:lineRule="auto"/>
        <w:rPr>
          <w:rFonts w:ascii="Garamond" w:hAnsi="Garamond" w:cs="Times New Roman"/>
        </w:rPr>
      </w:pPr>
    </w:p>
    <w:p w14:paraId="27CD637B" w14:textId="0D6E2D65" w:rsidR="00C2470B" w:rsidRDefault="00C2470B" w:rsidP="002831DB">
      <w:pPr>
        <w:spacing w:line="360" w:lineRule="auto"/>
        <w:rPr>
          <w:rFonts w:ascii="Garamond" w:hAnsi="Garamond" w:cs="Times New Roman"/>
        </w:rPr>
      </w:pPr>
    </w:p>
    <w:p w14:paraId="56D028A6" w14:textId="5960CFD2" w:rsidR="00C2470B" w:rsidRDefault="00C2470B" w:rsidP="002831DB">
      <w:pPr>
        <w:spacing w:line="360" w:lineRule="auto"/>
        <w:rPr>
          <w:rFonts w:ascii="Garamond" w:hAnsi="Garamond" w:cs="Times New Roman"/>
        </w:rPr>
      </w:pPr>
    </w:p>
    <w:p w14:paraId="7211A053" w14:textId="77777777" w:rsidR="008F27D3" w:rsidRPr="002831DB" w:rsidRDefault="008F27D3" w:rsidP="002831DB">
      <w:pPr>
        <w:spacing w:line="360" w:lineRule="auto"/>
        <w:rPr>
          <w:rFonts w:ascii="Garamond" w:hAnsi="Garamond" w:cs="Times New Roman"/>
        </w:rPr>
      </w:pPr>
    </w:p>
    <w:p w14:paraId="3A7C2EDF" w14:textId="77777777" w:rsidR="00AD7857" w:rsidRPr="002831DB" w:rsidRDefault="00AD7857" w:rsidP="00AD7857">
      <w:pPr>
        <w:spacing w:line="480" w:lineRule="auto"/>
        <w:rPr>
          <w:rFonts w:ascii="Garamond" w:hAnsi="Garamond" w:cs="Times New Roman"/>
        </w:rPr>
      </w:pPr>
    </w:p>
    <w:p w14:paraId="45A6E210" w14:textId="0AB4418C" w:rsidR="00AD7857" w:rsidRPr="00C2470B" w:rsidRDefault="00C2470B" w:rsidP="00AD7857">
      <w:pPr>
        <w:spacing w:line="480" w:lineRule="auto"/>
        <w:rPr>
          <w:rFonts w:ascii="Garamond" w:hAnsi="Garamond" w:cs="Times New Roman"/>
          <w:b/>
          <w:sz w:val="32"/>
          <w:szCs w:val="28"/>
        </w:rPr>
      </w:pPr>
      <w:r w:rsidRPr="00C2470B">
        <w:rPr>
          <w:rFonts w:ascii="Garamond" w:hAnsi="Garamond" w:cs="Times New Roman"/>
          <w:b/>
          <w:sz w:val="32"/>
          <w:szCs w:val="28"/>
        </w:rPr>
        <w:lastRenderedPageBreak/>
        <w:t>Tables</w:t>
      </w:r>
    </w:p>
    <w:p w14:paraId="2E3B6737" w14:textId="77777777" w:rsidR="00AD7857" w:rsidRPr="00573A55" w:rsidRDefault="00AD7857" w:rsidP="00AD7857">
      <w:pPr>
        <w:pStyle w:val="Tabletitle"/>
      </w:pPr>
      <w:r w:rsidRPr="00573A55">
        <w:t>Table 1: Variables</w:t>
      </w:r>
    </w:p>
    <w:p w14:paraId="12001A35" w14:textId="13170D98" w:rsidR="00AD7857" w:rsidRPr="00573A55" w:rsidRDefault="00AD7857" w:rsidP="00AD7857">
      <w:pPr>
        <w:spacing w:after="120"/>
        <w:jc w:val="both"/>
        <w:rPr>
          <w:rFonts w:ascii="Garamond" w:hAnsi="Garamond"/>
          <w:sz w:val="20"/>
          <w:szCs w:val="20"/>
        </w:rPr>
      </w:pPr>
      <w:r w:rsidRPr="00573A55">
        <w:rPr>
          <w:rFonts w:ascii="Garamond" w:hAnsi="Garamond"/>
          <w:sz w:val="20"/>
          <w:szCs w:val="20"/>
        </w:rPr>
        <w:t xml:space="preserve">Notations: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Y</m:t>
            </m:r>
          </m:e>
          <m:sub>
            <m:r>
              <w:rPr>
                <w:rFonts w:ascii="Cambria Math" w:hAnsi="Cambria Math"/>
                <w:color w:val="000000" w:themeColor="text1"/>
                <w:sz w:val="20"/>
                <w:szCs w:val="20"/>
              </w:rPr>
              <m:t>ct</m:t>
            </m:r>
          </m:sub>
        </m:sSub>
        <m:r>
          <m:rPr>
            <m:sty m:val="p"/>
          </m:rPr>
          <w:rPr>
            <w:rFonts w:ascii="Cambria Math" w:hAnsi="Cambria Math"/>
            <w:color w:val="000000" w:themeColor="text1"/>
            <w:sz w:val="20"/>
            <w:szCs w:val="20"/>
          </w:rPr>
          <m:t xml:space="preserve"> </m:t>
        </m:r>
      </m:oMath>
      <w:r w:rsidR="005E11B2" w:rsidRPr="00573A55">
        <w:rPr>
          <w:rFonts w:ascii="Garamond" w:hAnsi="Garamond"/>
          <w:color w:val="000000" w:themeColor="text1"/>
          <w:sz w:val="20"/>
          <w:szCs w:val="20"/>
        </w:rPr>
        <w:t xml:space="preserve">is </w:t>
      </w:r>
      <w:r w:rsidR="005E11B2">
        <w:rPr>
          <w:rFonts w:ascii="Garamond" w:hAnsi="Garamond"/>
          <w:color w:val="000000" w:themeColor="text1"/>
          <w:sz w:val="20"/>
          <w:szCs w:val="20"/>
        </w:rPr>
        <w:t xml:space="preserve">a vector of </w:t>
      </w:r>
      <w:r w:rsidR="005E11B2" w:rsidRPr="00573A55">
        <w:rPr>
          <w:rFonts w:ascii="Garamond" w:hAnsi="Garamond"/>
          <w:color w:val="000000" w:themeColor="text1"/>
          <w:sz w:val="20"/>
          <w:szCs w:val="20"/>
        </w:rPr>
        <w:t>time-varying country measures of virus spread</w:t>
      </w:r>
      <w:r w:rsidR="005E11B2">
        <w:rPr>
          <w:rFonts w:ascii="Garamond" w:hAnsi="Garamond"/>
          <w:color w:val="000000" w:themeColor="text1"/>
          <w:sz w:val="20"/>
          <w:szCs w:val="20"/>
        </w:rPr>
        <w:t xml:space="preserve">,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M</m:t>
            </m:r>
          </m:e>
          <m:sub>
            <m:r>
              <w:rPr>
                <w:rFonts w:ascii="Cambria Math" w:hAnsi="Cambria Math"/>
                <w:color w:val="000000" w:themeColor="text1"/>
                <w:sz w:val="20"/>
                <w:szCs w:val="20"/>
              </w:rPr>
              <m:t>ct</m:t>
            </m:r>
          </m:sub>
        </m:sSub>
      </m:oMath>
      <w:r w:rsidRPr="00573A55">
        <w:rPr>
          <w:rFonts w:ascii="Garamond" w:hAnsi="Garamond"/>
          <w:color w:val="000000" w:themeColor="text1"/>
          <w:sz w:val="20"/>
          <w:szCs w:val="20"/>
        </w:rPr>
        <w:t xml:space="preserve"> is a vector of the time-varying change in 6 mobility measures for each country, </w:t>
      </w:r>
      <w:r w:rsidRPr="00573A55">
        <w:rPr>
          <w:rFonts w:ascii="Garamond" w:hAnsi="Garamond"/>
          <w:sz w:val="20"/>
          <w:szCs w:val="20"/>
        </w:rPr>
        <w:t>Asterisk * indicates variables which have been logged</w:t>
      </w:r>
      <w:r>
        <w:rPr>
          <w:rFonts w:ascii="Garamond" w:hAnsi="Garamond"/>
          <w:sz w:val="20"/>
          <w:szCs w:val="20"/>
        </w:rPr>
        <w:t>.</w:t>
      </w:r>
    </w:p>
    <w:tbl>
      <w:tblPr>
        <w:tblW w:w="22664" w:type="dxa"/>
        <w:tblLook w:val="04A0" w:firstRow="1" w:lastRow="0" w:firstColumn="1" w:lastColumn="0" w:noHBand="0" w:noVBand="1"/>
      </w:tblPr>
      <w:tblGrid>
        <w:gridCol w:w="2160"/>
        <w:gridCol w:w="794"/>
        <w:gridCol w:w="6570"/>
        <w:gridCol w:w="6570"/>
        <w:gridCol w:w="6570"/>
      </w:tblGrid>
      <w:tr w:rsidR="00AD7857" w:rsidRPr="00573A55" w14:paraId="15E55584" w14:textId="77777777" w:rsidTr="00AD7857">
        <w:trPr>
          <w:gridAfter w:val="2"/>
          <w:wAfter w:w="13140" w:type="dxa"/>
        </w:trPr>
        <w:tc>
          <w:tcPr>
            <w:tcW w:w="2160" w:type="dxa"/>
            <w:tcBorders>
              <w:top w:val="single" w:sz="4" w:space="0" w:color="auto"/>
              <w:bottom w:val="single" w:sz="4" w:space="0" w:color="auto"/>
            </w:tcBorders>
          </w:tcPr>
          <w:p w14:paraId="28FA2890" w14:textId="77777777" w:rsidR="00AD7857" w:rsidRPr="00573A55" w:rsidRDefault="00AD7857" w:rsidP="00AD7857">
            <w:pPr>
              <w:jc w:val="center"/>
              <w:rPr>
                <w:rFonts w:ascii="Garamond" w:hAnsi="Garamond"/>
                <w:b/>
                <w:bCs/>
                <w:i/>
                <w:iCs/>
                <w:color w:val="000000" w:themeColor="text1"/>
                <w:sz w:val="20"/>
                <w:szCs w:val="20"/>
              </w:rPr>
            </w:pPr>
            <w:r w:rsidRPr="00573A55">
              <w:rPr>
                <w:rFonts w:ascii="Garamond" w:hAnsi="Garamond"/>
                <w:b/>
                <w:bCs/>
                <w:i/>
                <w:iCs/>
                <w:color w:val="000000" w:themeColor="text1"/>
                <w:sz w:val="20"/>
                <w:szCs w:val="20"/>
              </w:rPr>
              <w:t>Variable</w:t>
            </w:r>
          </w:p>
        </w:tc>
        <w:tc>
          <w:tcPr>
            <w:tcW w:w="794" w:type="dxa"/>
            <w:tcBorders>
              <w:top w:val="single" w:sz="4" w:space="0" w:color="auto"/>
              <w:bottom w:val="single" w:sz="4" w:space="0" w:color="auto"/>
            </w:tcBorders>
          </w:tcPr>
          <w:p w14:paraId="1FF2F6D4" w14:textId="77777777" w:rsidR="00AD7857" w:rsidRPr="00573A55" w:rsidRDefault="00AD7857" w:rsidP="00AD7857">
            <w:pPr>
              <w:jc w:val="center"/>
              <w:rPr>
                <w:rFonts w:ascii="Garamond" w:hAnsi="Garamond"/>
                <w:b/>
                <w:bCs/>
                <w:i/>
                <w:iCs/>
                <w:color w:val="000000" w:themeColor="text1"/>
                <w:sz w:val="20"/>
                <w:szCs w:val="20"/>
              </w:rPr>
            </w:pPr>
            <w:r w:rsidRPr="00573A55">
              <w:rPr>
                <w:rFonts w:ascii="Garamond" w:hAnsi="Garamond"/>
                <w:b/>
                <w:bCs/>
                <w:i/>
                <w:iCs/>
                <w:color w:val="000000" w:themeColor="text1"/>
                <w:sz w:val="20"/>
                <w:szCs w:val="20"/>
              </w:rPr>
              <w:t>Vector</w:t>
            </w:r>
          </w:p>
        </w:tc>
        <w:tc>
          <w:tcPr>
            <w:tcW w:w="6570" w:type="dxa"/>
            <w:tcBorders>
              <w:top w:val="single" w:sz="4" w:space="0" w:color="auto"/>
              <w:bottom w:val="single" w:sz="4" w:space="0" w:color="auto"/>
            </w:tcBorders>
          </w:tcPr>
          <w:p w14:paraId="46F3E6AD" w14:textId="77777777" w:rsidR="00AD7857" w:rsidRPr="00573A55" w:rsidRDefault="00AD7857" w:rsidP="00AD7857">
            <w:pPr>
              <w:jc w:val="center"/>
              <w:rPr>
                <w:rFonts w:ascii="Garamond" w:hAnsi="Garamond"/>
                <w:b/>
                <w:bCs/>
                <w:i/>
                <w:iCs/>
                <w:color w:val="000000" w:themeColor="text1"/>
                <w:sz w:val="20"/>
                <w:szCs w:val="20"/>
              </w:rPr>
            </w:pPr>
            <w:r w:rsidRPr="00573A55">
              <w:rPr>
                <w:rFonts w:ascii="Garamond" w:hAnsi="Garamond"/>
                <w:b/>
                <w:bCs/>
                <w:i/>
                <w:iCs/>
                <w:color w:val="000000" w:themeColor="text1"/>
                <w:sz w:val="20"/>
                <w:szCs w:val="20"/>
              </w:rPr>
              <w:t>Description</w:t>
            </w:r>
          </w:p>
        </w:tc>
      </w:tr>
      <w:tr w:rsidR="00AD7857" w:rsidRPr="00573A55" w14:paraId="7C8A8371" w14:textId="77777777" w:rsidTr="00AD7857">
        <w:trPr>
          <w:gridAfter w:val="2"/>
          <w:wAfter w:w="13140" w:type="dxa"/>
        </w:trPr>
        <w:tc>
          <w:tcPr>
            <w:tcW w:w="2160" w:type="dxa"/>
            <w:tcBorders>
              <w:top w:val="single" w:sz="4" w:space="0" w:color="auto"/>
            </w:tcBorders>
          </w:tcPr>
          <w:p w14:paraId="1A0E5430" w14:textId="062CDF6B" w:rsidR="00AD7857" w:rsidRPr="00573A55" w:rsidRDefault="00AD7857" w:rsidP="00AD7857">
            <w:pPr>
              <w:spacing w:before="120"/>
              <w:jc w:val="both"/>
              <w:rPr>
                <w:rFonts w:ascii="Garamond" w:hAnsi="Garamond"/>
                <w:b/>
                <w:i/>
                <w:color w:val="000000" w:themeColor="text1"/>
                <w:sz w:val="20"/>
                <w:szCs w:val="20"/>
              </w:rPr>
            </w:pPr>
            <w:r w:rsidRPr="00573A55">
              <w:rPr>
                <w:rFonts w:ascii="Garamond" w:hAnsi="Garamond"/>
                <w:b/>
                <w:i/>
                <w:color w:val="000000" w:themeColor="text1"/>
                <w:sz w:val="20"/>
                <w:szCs w:val="20"/>
              </w:rPr>
              <w:t>COVID-19 Var</w:t>
            </w:r>
            <w:r w:rsidR="008F27D3">
              <w:rPr>
                <w:rFonts w:ascii="Garamond" w:hAnsi="Garamond"/>
                <w:b/>
                <w:i/>
                <w:color w:val="000000" w:themeColor="text1"/>
                <w:sz w:val="20"/>
                <w:szCs w:val="20"/>
              </w:rPr>
              <w:t>iable</w:t>
            </w:r>
          </w:p>
        </w:tc>
        <w:tc>
          <w:tcPr>
            <w:tcW w:w="794" w:type="dxa"/>
            <w:tcBorders>
              <w:top w:val="single" w:sz="4" w:space="0" w:color="auto"/>
            </w:tcBorders>
          </w:tcPr>
          <w:p w14:paraId="32C087DC" w14:textId="77777777" w:rsidR="00AD7857" w:rsidRPr="00573A55" w:rsidRDefault="00AD7857" w:rsidP="00AD7857">
            <w:pPr>
              <w:spacing w:before="120"/>
              <w:jc w:val="both"/>
              <w:rPr>
                <w:rFonts w:ascii="Garamond" w:eastAsia="Calibri" w:hAnsi="Garamond" w:cs="Times New Roman"/>
                <w:color w:val="000000" w:themeColor="text1"/>
                <w:sz w:val="20"/>
                <w:szCs w:val="20"/>
              </w:rPr>
            </w:pPr>
          </w:p>
        </w:tc>
        <w:tc>
          <w:tcPr>
            <w:tcW w:w="6570" w:type="dxa"/>
            <w:tcBorders>
              <w:top w:val="single" w:sz="4" w:space="0" w:color="auto"/>
            </w:tcBorders>
          </w:tcPr>
          <w:p w14:paraId="1F28D545" w14:textId="77777777" w:rsidR="00AD7857" w:rsidRPr="00573A55" w:rsidRDefault="00AD7857" w:rsidP="00AD7857">
            <w:pPr>
              <w:spacing w:before="120"/>
              <w:jc w:val="both"/>
              <w:rPr>
                <w:rFonts w:ascii="Garamond" w:hAnsi="Garamond"/>
                <w:color w:val="000000" w:themeColor="text1"/>
                <w:sz w:val="20"/>
                <w:szCs w:val="20"/>
              </w:rPr>
            </w:pPr>
          </w:p>
        </w:tc>
      </w:tr>
      <w:tr w:rsidR="00AD7857" w:rsidRPr="00573A55" w14:paraId="14A2F0DA" w14:textId="77777777" w:rsidTr="00AD7857">
        <w:trPr>
          <w:gridAfter w:val="2"/>
          <w:wAfter w:w="13140" w:type="dxa"/>
        </w:trPr>
        <w:tc>
          <w:tcPr>
            <w:tcW w:w="2160" w:type="dxa"/>
          </w:tcPr>
          <w:p w14:paraId="783E6750" w14:textId="77777777" w:rsidR="00AD7857" w:rsidRPr="00573A55" w:rsidRDefault="00AD7857" w:rsidP="00AD7857">
            <w:pPr>
              <w:spacing w:before="120"/>
              <w:jc w:val="both"/>
              <w:rPr>
                <w:rFonts w:ascii="Garamond" w:hAnsi="Garamond"/>
                <w:color w:val="000000" w:themeColor="text1"/>
                <w:sz w:val="20"/>
                <w:szCs w:val="20"/>
              </w:rPr>
            </w:pPr>
            <w:r>
              <w:rPr>
                <w:rFonts w:ascii="Garamond" w:hAnsi="Garamond"/>
                <w:color w:val="000000" w:themeColor="text1"/>
                <w:sz w:val="20"/>
                <w:szCs w:val="20"/>
              </w:rPr>
              <w:t>*</w:t>
            </w:r>
            <w:r w:rsidRPr="00573A55">
              <w:rPr>
                <w:rFonts w:ascii="Garamond" w:hAnsi="Garamond"/>
                <w:color w:val="000000" w:themeColor="text1"/>
                <w:sz w:val="20"/>
                <w:szCs w:val="20"/>
              </w:rPr>
              <w:t>New cases per million</w:t>
            </w:r>
          </w:p>
        </w:tc>
        <w:tc>
          <w:tcPr>
            <w:tcW w:w="794" w:type="dxa"/>
          </w:tcPr>
          <w:p w14:paraId="0D0E72D5" w14:textId="77777777" w:rsidR="00AD7857" w:rsidRPr="00573A55" w:rsidRDefault="008A6DE8" w:rsidP="00AD7857">
            <w:pPr>
              <w:spacing w:before="120"/>
              <w:jc w:val="both"/>
              <w:rPr>
                <w:rFonts w:ascii="Garamond" w:eastAsia="Calibri" w:hAnsi="Garamond" w:cs="Times New Roman"/>
                <w:color w:val="000000" w:themeColor="text1"/>
                <w:sz w:val="20"/>
                <w:szCs w:val="20"/>
              </w:rPr>
            </w:pPr>
            <m:oMathPara>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Y</m:t>
                    </m:r>
                  </m:e>
                  <m:sub>
                    <m:r>
                      <w:rPr>
                        <w:rFonts w:ascii="Cambria Math" w:hAnsi="Cambria Math"/>
                        <w:color w:val="000000" w:themeColor="text1"/>
                        <w:sz w:val="20"/>
                        <w:szCs w:val="20"/>
                      </w:rPr>
                      <m:t>ct</m:t>
                    </m:r>
                  </m:sub>
                </m:sSub>
              </m:oMath>
            </m:oMathPara>
          </w:p>
        </w:tc>
        <w:tc>
          <w:tcPr>
            <w:tcW w:w="6570" w:type="dxa"/>
          </w:tcPr>
          <w:p w14:paraId="7E581823" w14:textId="518ACB59"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 xml:space="preserve">Continuous, </w:t>
            </w:r>
            <w:r w:rsidR="005E11B2">
              <w:rPr>
                <w:rFonts w:ascii="Garamond" w:hAnsi="Garamond"/>
                <w:color w:val="000000" w:themeColor="text1"/>
                <w:sz w:val="20"/>
                <w:szCs w:val="20"/>
              </w:rPr>
              <w:t>logged value of new COVID-19 cases reported for day t</w:t>
            </w:r>
          </w:p>
        </w:tc>
      </w:tr>
      <w:tr w:rsidR="00AD7857" w:rsidRPr="00573A55" w14:paraId="6892BC09" w14:textId="77777777" w:rsidTr="00AD7857">
        <w:tc>
          <w:tcPr>
            <w:tcW w:w="2160" w:type="dxa"/>
          </w:tcPr>
          <w:p w14:paraId="33345037" w14:textId="77777777" w:rsidR="00AD7857" w:rsidRPr="00573A55" w:rsidRDefault="00AD7857" w:rsidP="00AD7857">
            <w:pPr>
              <w:spacing w:before="120"/>
              <w:rPr>
                <w:rFonts w:ascii="Garamond" w:hAnsi="Garamond"/>
                <w:b/>
                <w:i/>
                <w:color w:val="000000" w:themeColor="text1"/>
                <w:sz w:val="20"/>
                <w:szCs w:val="20"/>
              </w:rPr>
            </w:pPr>
            <w:r w:rsidRPr="00573A55">
              <w:rPr>
                <w:rFonts w:ascii="Garamond" w:hAnsi="Garamond"/>
                <w:b/>
                <w:i/>
                <w:color w:val="000000" w:themeColor="text1"/>
                <w:sz w:val="20"/>
                <w:szCs w:val="20"/>
              </w:rPr>
              <w:t>Mobility Variables</w:t>
            </w:r>
          </w:p>
        </w:tc>
        <w:tc>
          <w:tcPr>
            <w:tcW w:w="794" w:type="dxa"/>
          </w:tcPr>
          <w:p w14:paraId="78F61383" w14:textId="77777777" w:rsidR="00AD7857" w:rsidRPr="00573A55" w:rsidRDefault="00AD7857" w:rsidP="00AD7857">
            <w:pPr>
              <w:spacing w:before="120"/>
              <w:jc w:val="both"/>
              <w:rPr>
                <w:rFonts w:ascii="Garamond" w:eastAsia="Calibri" w:hAnsi="Garamond" w:cs="Times New Roman"/>
                <w:sz w:val="20"/>
                <w:szCs w:val="20"/>
              </w:rPr>
            </w:pPr>
          </w:p>
        </w:tc>
        <w:tc>
          <w:tcPr>
            <w:tcW w:w="6570" w:type="dxa"/>
          </w:tcPr>
          <w:p w14:paraId="13577803" w14:textId="77777777" w:rsidR="00AD7857" w:rsidRPr="00573A55" w:rsidRDefault="00AD7857" w:rsidP="00AD7857">
            <w:pPr>
              <w:spacing w:before="120"/>
              <w:jc w:val="both"/>
              <w:rPr>
                <w:rFonts w:ascii="Garamond" w:hAnsi="Garamond"/>
                <w:color w:val="000000" w:themeColor="text1"/>
                <w:sz w:val="20"/>
                <w:szCs w:val="20"/>
              </w:rPr>
            </w:pPr>
          </w:p>
        </w:tc>
        <w:tc>
          <w:tcPr>
            <w:tcW w:w="6570" w:type="dxa"/>
          </w:tcPr>
          <w:p w14:paraId="1DA3C277"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2E680BA0" w14:textId="77777777" w:rsidR="00AD7857" w:rsidRPr="00573A55" w:rsidRDefault="00AD7857" w:rsidP="00AD7857">
            <w:pPr>
              <w:rPr>
                <w:rFonts w:ascii="Garamond" w:hAnsi="Garamond"/>
                <w:color w:val="000000" w:themeColor="text1"/>
                <w:sz w:val="20"/>
                <w:szCs w:val="20"/>
              </w:rPr>
            </w:pPr>
          </w:p>
        </w:tc>
      </w:tr>
      <w:tr w:rsidR="00AD7857" w:rsidRPr="00573A55" w14:paraId="7D17A319" w14:textId="77777777" w:rsidTr="00AD7857">
        <w:tc>
          <w:tcPr>
            <w:tcW w:w="2160" w:type="dxa"/>
          </w:tcPr>
          <w:p w14:paraId="604486F9"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Retail mobility</w:t>
            </w:r>
          </w:p>
        </w:tc>
        <w:tc>
          <w:tcPr>
            <w:tcW w:w="794" w:type="dxa"/>
          </w:tcPr>
          <w:p w14:paraId="3FFAF944"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1A397461"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at retail and recreation businesses from GMR</w:t>
            </w:r>
          </w:p>
        </w:tc>
        <w:tc>
          <w:tcPr>
            <w:tcW w:w="6570" w:type="dxa"/>
          </w:tcPr>
          <w:p w14:paraId="29327C70"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10DCAE4E" w14:textId="77777777" w:rsidR="00AD7857" w:rsidRPr="00573A55" w:rsidRDefault="00AD7857" w:rsidP="00AD7857">
            <w:pPr>
              <w:rPr>
                <w:rFonts w:ascii="Garamond" w:hAnsi="Garamond"/>
                <w:color w:val="000000" w:themeColor="text1"/>
                <w:sz w:val="20"/>
                <w:szCs w:val="20"/>
              </w:rPr>
            </w:pPr>
          </w:p>
        </w:tc>
      </w:tr>
      <w:tr w:rsidR="00AD7857" w:rsidRPr="00573A55" w14:paraId="6478CF72" w14:textId="77777777" w:rsidTr="00AD7857">
        <w:tc>
          <w:tcPr>
            <w:tcW w:w="2160" w:type="dxa"/>
          </w:tcPr>
          <w:p w14:paraId="0ED90234"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Grocery mobility</w:t>
            </w:r>
          </w:p>
        </w:tc>
        <w:tc>
          <w:tcPr>
            <w:tcW w:w="794" w:type="dxa"/>
          </w:tcPr>
          <w:p w14:paraId="36362BC8"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573A558C"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at grocery and pharmacy businesses from GMR</w:t>
            </w:r>
          </w:p>
        </w:tc>
        <w:tc>
          <w:tcPr>
            <w:tcW w:w="6570" w:type="dxa"/>
          </w:tcPr>
          <w:p w14:paraId="73F0B70B"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74AB235E" w14:textId="77777777" w:rsidR="00AD7857" w:rsidRPr="00573A55" w:rsidRDefault="00AD7857" w:rsidP="00AD7857">
            <w:pPr>
              <w:rPr>
                <w:rFonts w:ascii="Garamond" w:hAnsi="Garamond"/>
                <w:color w:val="000000" w:themeColor="text1"/>
                <w:sz w:val="20"/>
                <w:szCs w:val="20"/>
              </w:rPr>
            </w:pPr>
          </w:p>
        </w:tc>
      </w:tr>
      <w:tr w:rsidR="00AD7857" w:rsidRPr="00573A55" w14:paraId="372EC707" w14:textId="77777777" w:rsidTr="00AD7857">
        <w:tc>
          <w:tcPr>
            <w:tcW w:w="2160" w:type="dxa"/>
          </w:tcPr>
          <w:p w14:paraId="09BB43D3"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Park mobility</w:t>
            </w:r>
          </w:p>
        </w:tc>
        <w:tc>
          <w:tcPr>
            <w:tcW w:w="794" w:type="dxa"/>
          </w:tcPr>
          <w:p w14:paraId="7025AF58"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70C4BDEC"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in parks from GMR</w:t>
            </w:r>
          </w:p>
        </w:tc>
        <w:tc>
          <w:tcPr>
            <w:tcW w:w="6570" w:type="dxa"/>
          </w:tcPr>
          <w:p w14:paraId="46B709C9"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76FF3204" w14:textId="77777777" w:rsidR="00AD7857" w:rsidRPr="00573A55" w:rsidRDefault="00AD7857" w:rsidP="00AD7857">
            <w:pPr>
              <w:rPr>
                <w:rFonts w:ascii="Garamond" w:hAnsi="Garamond"/>
                <w:color w:val="000000" w:themeColor="text1"/>
                <w:sz w:val="20"/>
                <w:szCs w:val="20"/>
              </w:rPr>
            </w:pPr>
          </w:p>
        </w:tc>
      </w:tr>
      <w:tr w:rsidR="00AD7857" w:rsidRPr="00573A55" w14:paraId="374A6A9A" w14:textId="77777777" w:rsidTr="00AD7857">
        <w:tc>
          <w:tcPr>
            <w:tcW w:w="2160" w:type="dxa"/>
          </w:tcPr>
          <w:p w14:paraId="18962FE3"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Transit mobility</w:t>
            </w:r>
          </w:p>
        </w:tc>
        <w:tc>
          <w:tcPr>
            <w:tcW w:w="794" w:type="dxa"/>
          </w:tcPr>
          <w:p w14:paraId="54B7D0DC"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2AD46702"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in transit stations from GMR</w:t>
            </w:r>
          </w:p>
        </w:tc>
        <w:tc>
          <w:tcPr>
            <w:tcW w:w="6570" w:type="dxa"/>
          </w:tcPr>
          <w:p w14:paraId="31807E76"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29803A54" w14:textId="77777777" w:rsidR="00AD7857" w:rsidRPr="00573A55" w:rsidRDefault="00AD7857" w:rsidP="00AD7857">
            <w:pPr>
              <w:rPr>
                <w:rFonts w:ascii="Garamond" w:hAnsi="Garamond"/>
                <w:color w:val="000000" w:themeColor="text1"/>
                <w:sz w:val="20"/>
                <w:szCs w:val="20"/>
              </w:rPr>
            </w:pPr>
          </w:p>
        </w:tc>
      </w:tr>
      <w:tr w:rsidR="00AD7857" w:rsidRPr="00573A55" w14:paraId="7098C22B" w14:textId="77777777" w:rsidTr="00AD7857">
        <w:tc>
          <w:tcPr>
            <w:tcW w:w="2160" w:type="dxa"/>
          </w:tcPr>
          <w:p w14:paraId="3CE877BA"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 xml:space="preserve">Workplace mobility </w:t>
            </w:r>
          </w:p>
        </w:tc>
        <w:tc>
          <w:tcPr>
            <w:tcW w:w="794" w:type="dxa"/>
          </w:tcPr>
          <w:p w14:paraId="3D45F5FC"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3FFA8F1A"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at the workplace from GMR</w:t>
            </w:r>
          </w:p>
        </w:tc>
        <w:tc>
          <w:tcPr>
            <w:tcW w:w="6570" w:type="dxa"/>
          </w:tcPr>
          <w:p w14:paraId="0A50A806"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534A9DE8" w14:textId="77777777" w:rsidR="00AD7857" w:rsidRPr="00573A55" w:rsidRDefault="00AD7857" w:rsidP="00AD7857">
            <w:pPr>
              <w:rPr>
                <w:rFonts w:ascii="Garamond" w:hAnsi="Garamond"/>
                <w:color w:val="000000" w:themeColor="text1"/>
                <w:sz w:val="20"/>
                <w:szCs w:val="20"/>
              </w:rPr>
            </w:pPr>
          </w:p>
        </w:tc>
      </w:tr>
      <w:tr w:rsidR="00AD7857" w:rsidRPr="00573A55" w14:paraId="50835966" w14:textId="77777777" w:rsidTr="00AD7857">
        <w:tc>
          <w:tcPr>
            <w:tcW w:w="2160" w:type="dxa"/>
          </w:tcPr>
          <w:p w14:paraId="2F5DD340" w14:textId="77777777" w:rsidR="00AD7857" w:rsidRPr="00573A55" w:rsidRDefault="00AD7857" w:rsidP="00AD7857">
            <w:pPr>
              <w:spacing w:before="120"/>
              <w:rPr>
                <w:rFonts w:ascii="Garamond" w:hAnsi="Garamond"/>
                <w:color w:val="000000" w:themeColor="text1"/>
                <w:sz w:val="20"/>
                <w:szCs w:val="20"/>
              </w:rPr>
            </w:pPr>
            <w:r w:rsidRPr="00573A55">
              <w:rPr>
                <w:rFonts w:ascii="Garamond" w:hAnsi="Garamond"/>
                <w:color w:val="000000" w:themeColor="text1"/>
                <w:sz w:val="20"/>
                <w:szCs w:val="20"/>
              </w:rPr>
              <w:t>Residential mobility</w:t>
            </w:r>
          </w:p>
        </w:tc>
        <w:tc>
          <w:tcPr>
            <w:tcW w:w="794" w:type="dxa"/>
          </w:tcPr>
          <w:p w14:paraId="3D7DF9D2" w14:textId="77777777" w:rsidR="00AD7857" w:rsidRPr="00573A55" w:rsidRDefault="008A6DE8" w:rsidP="00AD7857">
            <w:pPr>
              <w:spacing w:before="120"/>
              <w:jc w:val="both"/>
              <w:rPr>
                <w:rFonts w:ascii="Garamond" w:eastAsia="Calibri" w:hAnsi="Garamond"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ct</m:t>
                    </m:r>
                  </m:sub>
                </m:sSub>
              </m:oMath>
            </m:oMathPara>
          </w:p>
        </w:tc>
        <w:tc>
          <w:tcPr>
            <w:tcW w:w="6570" w:type="dxa"/>
          </w:tcPr>
          <w:p w14:paraId="24E5B047" w14:textId="77777777" w:rsidR="00AD7857" w:rsidRPr="00573A55" w:rsidRDefault="00AD7857" w:rsidP="00AD7857">
            <w:pPr>
              <w:spacing w:before="120"/>
              <w:jc w:val="both"/>
              <w:rPr>
                <w:rFonts w:ascii="Garamond" w:hAnsi="Garamond"/>
                <w:color w:val="000000" w:themeColor="text1"/>
                <w:sz w:val="20"/>
                <w:szCs w:val="20"/>
              </w:rPr>
            </w:pPr>
            <w:r w:rsidRPr="00573A55">
              <w:rPr>
                <w:rFonts w:ascii="Garamond" w:hAnsi="Garamond"/>
                <w:color w:val="000000" w:themeColor="text1"/>
                <w:sz w:val="20"/>
                <w:szCs w:val="20"/>
              </w:rPr>
              <w:t>Continuous, daily change in traffic at home from GMR</w:t>
            </w:r>
          </w:p>
        </w:tc>
        <w:tc>
          <w:tcPr>
            <w:tcW w:w="6570" w:type="dxa"/>
          </w:tcPr>
          <w:p w14:paraId="1AA8561B"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46FC1A22" w14:textId="77777777" w:rsidR="00AD7857" w:rsidRPr="00573A55" w:rsidRDefault="00AD7857" w:rsidP="00AD7857">
            <w:pPr>
              <w:rPr>
                <w:rFonts w:ascii="Garamond" w:hAnsi="Garamond"/>
                <w:color w:val="000000" w:themeColor="text1"/>
                <w:sz w:val="20"/>
                <w:szCs w:val="20"/>
              </w:rPr>
            </w:pPr>
          </w:p>
        </w:tc>
      </w:tr>
      <w:tr w:rsidR="00AD7857" w:rsidRPr="00573A55" w14:paraId="692094BB" w14:textId="77777777" w:rsidTr="00AD7857">
        <w:tc>
          <w:tcPr>
            <w:tcW w:w="2160" w:type="dxa"/>
          </w:tcPr>
          <w:p w14:paraId="7F52574F" w14:textId="2B80816C" w:rsidR="00AD7857" w:rsidRPr="00256F3E" w:rsidRDefault="005E11B2" w:rsidP="00AD7857">
            <w:pPr>
              <w:spacing w:before="120"/>
              <w:rPr>
                <w:rFonts w:ascii="Garamond" w:hAnsi="Garamond"/>
                <w:b/>
                <w:i/>
                <w:color w:val="000000" w:themeColor="text1"/>
                <w:sz w:val="20"/>
                <w:szCs w:val="20"/>
              </w:rPr>
            </w:pPr>
            <w:r w:rsidRPr="00256F3E">
              <w:rPr>
                <w:rFonts w:ascii="Garamond" w:hAnsi="Garamond"/>
                <w:b/>
                <w:i/>
                <w:color w:val="000000" w:themeColor="text1"/>
                <w:sz w:val="20"/>
                <w:szCs w:val="20"/>
              </w:rPr>
              <w:t>Other Variables</w:t>
            </w:r>
          </w:p>
        </w:tc>
        <w:tc>
          <w:tcPr>
            <w:tcW w:w="794" w:type="dxa"/>
          </w:tcPr>
          <w:p w14:paraId="14EC73ED" w14:textId="77777777" w:rsidR="00AD7857" w:rsidRPr="00256F3E" w:rsidRDefault="00AD7857" w:rsidP="00AD7857">
            <w:pPr>
              <w:spacing w:before="120"/>
              <w:jc w:val="both"/>
              <w:rPr>
                <w:rFonts w:ascii="Garamond" w:eastAsia="Calibri" w:hAnsi="Garamond" w:cs="Times New Roman"/>
                <w:sz w:val="20"/>
                <w:szCs w:val="20"/>
              </w:rPr>
            </w:pPr>
          </w:p>
        </w:tc>
        <w:tc>
          <w:tcPr>
            <w:tcW w:w="6570" w:type="dxa"/>
          </w:tcPr>
          <w:p w14:paraId="4E28193F" w14:textId="77777777" w:rsidR="00AD7857" w:rsidRPr="00256F3E" w:rsidRDefault="00AD7857" w:rsidP="00AD7857">
            <w:pPr>
              <w:spacing w:before="120"/>
              <w:jc w:val="both"/>
              <w:rPr>
                <w:rFonts w:ascii="Garamond" w:hAnsi="Garamond"/>
                <w:color w:val="000000" w:themeColor="text1"/>
                <w:sz w:val="20"/>
                <w:szCs w:val="20"/>
              </w:rPr>
            </w:pPr>
          </w:p>
        </w:tc>
        <w:tc>
          <w:tcPr>
            <w:tcW w:w="6570" w:type="dxa"/>
          </w:tcPr>
          <w:p w14:paraId="735D7108"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62C6365E" w14:textId="77777777" w:rsidR="00AD7857" w:rsidRPr="00573A55" w:rsidRDefault="00AD7857" w:rsidP="00AD7857">
            <w:pPr>
              <w:rPr>
                <w:rFonts w:ascii="Garamond" w:hAnsi="Garamond"/>
                <w:color w:val="000000" w:themeColor="text1"/>
                <w:sz w:val="20"/>
                <w:szCs w:val="20"/>
              </w:rPr>
            </w:pPr>
          </w:p>
        </w:tc>
      </w:tr>
      <w:tr w:rsidR="00AD7857" w:rsidRPr="00573A55" w14:paraId="091B03DB" w14:textId="77777777" w:rsidTr="00AD7857">
        <w:tc>
          <w:tcPr>
            <w:tcW w:w="2160" w:type="dxa"/>
          </w:tcPr>
          <w:p w14:paraId="21F6A8F2" w14:textId="77777777" w:rsidR="00AD7857" w:rsidRPr="00256F3E" w:rsidDel="00042916" w:rsidRDefault="00AD7857" w:rsidP="00AD7857">
            <w:pPr>
              <w:spacing w:before="120"/>
              <w:rPr>
                <w:rFonts w:ascii="Garamond" w:hAnsi="Garamond"/>
                <w:color w:val="000000" w:themeColor="text1"/>
                <w:sz w:val="20"/>
                <w:szCs w:val="20"/>
              </w:rPr>
            </w:pPr>
            <w:r w:rsidRPr="00256F3E">
              <w:rPr>
                <w:rFonts w:ascii="Garamond" w:hAnsi="Garamond"/>
                <w:color w:val="000000" w:themeColor="text1"/>
                <w:sz w:val="20"/>
                <w:szCs w:val="20"/>
              </w:rPr>
              <w:t>Days elapsed</w:t>
            </w:r>
          </w:p>
        </w:tc>
        <w:tc>
          <w:tcPr>
            <w:tcW w:w="794" w:type="dxa"/>
          </w:tcPr>
          <w:p w14:paraId="0EBC0BAE" w14:textId="77777777" w:rsidR="00AD7857" w:rsidRPr="00256F3E" w:rsidRDefault="008A6DE8" w:rsidP="00AD7857">
            <w:pPr>
              <w:spacing w:before="120"/>
              <w:jc w:val="both"/>
              <w:rPr>
                <w:rFonts w:ascii="Garamond" w:eastAsia="Calibri" w:hAnsi="Garamond" w:cs="Times New Roman"/>
                <w:color w:val="000000" w:themeColor="text1"/>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ct</m:t>
                    </m:r>
                  </m:sub>
                </m:sSub>
              </m:oMath>
            </m:oMathPara>
          </w:p>
        </w:tc>
        <w:tc>
          <w:tcPr>
            <w:tcW w:w="6570" w:type="dxa"/>
          </w:tcPr>
          <w:p w14:paraId="5F18DBCA" w14:textId="77777777" w:rsidR="00AD7857" w:rsidRPr="00256F3E" w:rsidRDefault="00AD7857" w:rsidP="00AD7857">
            <w:pPr>
              <w:spacing w:before="120"/>
              <w:jc w:val="both"/>
              <w:rPr>
                <w:rFonts w:ascii="Garamond" w:hAnsi="Garamond"/>
                <w:color w:val="000000" w:themeColor="text1"/>
                <w:sz w:val="20"/>
                <w:szCs w:val="20"/>
              </w:rPr>
            </w:pPr>
            <w:r w:rsidRPr="00256F3E">
              <w:rPr>
                <w:rFonts w:ascii="Garamond" w:hAnsi="Garamond"/>
                <w:color w:val="000000" w:themeColor="text1"/>
                <w:sz w:val="20"/>
                <w:szCs w:val="20"/>
              </w:rPr>
              <w:t>Discrete, days since onset of virus, which is determined to be the first day with more than 2 cases per million</w:t>
            </w:r>
          </w:p>
        </w:tc>
        <w:tc>
          <w:tcPr>
            <w:tcW w:w="6570" w:type="dxa"/>
          </w:tcPr>
          <w:p w14:paraId="57B4BC75"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4BAEB9CE" w14:textId="77777777" w:rsidR="00AD7857" w:rsidRPr="00573A55" w:rsidRDefault="00AD7857" w:rsidP="00AD7857">
            <w:pPr>
              <w:rPr>
                <w:rFonts w:ascii="Garamond" w:hAnsi="Garamond"/>
                <w:color w:val="000000" w:themeColor="text1"/>
                <w:sz w:val="20"/>
                <w:szCs w:val="20"/>
              </w:rPr>
            </w:pPr>
          </w:p>
        </w:tc>
      </w:tr>
      <w:tr w:rsidR="00AD7857" w:rsidRPr="00573A55" w14:paraId="2E37D4C9" w14:textId="77777777" w:rsidTr="00AD7857">
        <w:tc>
          <w:tcPr>
            <w:tcW w:w="2160" w:type="dxa"/>
            <w:tcBorders>
              <w:bottom w:val="single" w:sz="4" w:space="0" w:color="auto"/>
            </w:tcBorders>
          </w:tcPr>
          <w:p w14:paraId="08F6A474" w14:textId="77777777" w:rsidR="00AD7857" w:rsidRPr="00573A55" w:rsidRDefault="00AD7857" w:rsidP="00AD7857">
            <w:pPr>
              <w:spacing w:before="120"/>
              <w:rPr>
                <w:rFonts w:ascii="Garamond" w:hAnsi="Garamond"/>
                <w:color w:val="000000" w:themeColor="text1"/>
                <w:sz w:val="20"/>
                <w:szCs w:val="20"/>
                <w:highlight w:val="yellow"/>
              </w:rPr>
            </w:pPr>
            <w:r w:rsidRPr="00573A55">
              <w:rPr>
                <w:rFonts w:ascii="Garamond" w:hAnsi="Garamond"/>
                <w:color w:val="000000" w:themeColor="text1"/>
                <w:sz w:val="20"/>
                <w:szCs w:val="20"/>
              </w:rPr>
              <w:t>Policy Stringency</w:t>
            </w:r>
          </w:p>
        </w:tc>
        <w:tc>
          <w:tcPr>
            <w:tcW w:w="794" w:type="dxa"/>
            <w:tcBorders>
              <w:bottom w:val="single" w:sz="4" w:space="0" w:color="auto"/>
            </w:tcBorders>
          </w:tcPr>
          <w:p w14:paraId="790FA8A4" w14:textId="77777777" w:rsidR="00AD7857" w:rsidRPr="00573A55" w:rsidRDefault="008A6DE8" w:rsidP="00AD7857">
            <w:pPr>
              <w:spacing w:before="120"/>
              <w:jc w:val="both"/>
              <w:rPr>
                <w:rFonts w:ascii="Garamond" w:eastAsia="Calibri" w:hAnsi="Garamond" w:cs="Times New Roman"/>
                <w:sz w:val="20"/>
                <w:szCs w:val="20"/>
                <w:highlight w:val="yellow"/>
              </w:rPr>
            </w:pPr>
            <m:oMathPara>
              <m:oMath>
                <m:sSub>
                  <m:sSubPr>
                    <m:ctrlPr>
                      <w:rPr>
                        <w:rFonts w:ascii="Cambria Math" w:hAnsi="Cambria Math" w:cs="Times New Roman"/>
                        <w:i/>
                        <w:sz w:val="20"/>
                        <w:szCs w:val="20"/>
                      </w:rPr>
                    </m:ctrlPr>
                  </m:sSubPr>
                  <m:e>
                    <m:r>
                      <w:rPr>
                        <w:rFonts w:ascii="Cambria Math" w:hAnsi="Cambria Math" w:cs="Times New Roman"/>
                        <w:sz w:val="20"/>
                        <w:szCs w:val="20"/>
                      </w:rPr>
                      <m:t>P</m:t>
                    </m:r>
                  </m:e>
                  <m:sub>
                    <m:r>
                      <w:rPr>
                        <w:rFonts w:ascii="Cambria Math" w:hAnsi="Cambria Math" w:cs="Times New Roman"/>
                        <w:sz w:val="20"/>
                        <w:szCs w:val="20"/>
                      </w:rPr>
                      <m:t>ct</m:t>
                    </m:r>
                  </m:sub>
                </m:sSub>
              </m:oMath>
            </m:oMathPara>
          </w:p>
        </w:tc>
        <w:tc>
          <w:tcPr>
            <w:tcW w:w="6570" w:type="dxa"/>
            <w:tcBorders>
              <w:bottom w:val="single" w:sz="4" w:space="0" w:color="auto"/>
            </w:tcBorders>
          </w:tcPr>
          <w:p w14:paraId="68C585C0" w14:textId="77777777" w:rsidR="00AD7857" w:rsidRPr="00573A55" w:rsidRDefault="00AD7857" w:rsidP="00AD7857">
            <w:pPr>
              <w:spacing w:before="120"/>
              <w:jc w:val="both"/>
              <w:rPr>
                <w:rFonts w:ascii="Garamond" w:hAnsi="Garamond"/>
                <w:color w:val="000000" w:themeColor="text1"/>
                <w:sz w:val="20"/>
                <w:szCs w:val="20"/>
                <w:highlight w:val="yellow"/>
              </w:rPr>
            </w:pPr>
            <w:r w:rsidRPr="00573A55">
              <w:rPr>
                <w:rFonts w:ascii="Garamond" w:hAnsi="Garamond"/>
                <w:color w:val="000000" w:themeColor="text1"/>
                <w:sz w:val="20"/>
                <w:szCs w:val="20"/>
              </w:rPr>
              <w:t xml:space="preserve">Continuous, daily measures stringency of government policy responses to the virus as calculated by the Oxford Coronavirus Government Response Tracker </w:t>
            </w:r>
          </w:p>
        </w:tc>
        <w:tc>
          <w:tcPr>
            <w:tcW w:w="6570" w:type="dxa"/>
          </w:tcPr>
          <w:p w14:paraId="7CA8FF6C" w14:textId="77777777" w:rsidR="00AD7857" w:rsidRPr="00573A55" w:rsidRDefault="00AD7857" w:rsidP="00AD7857">
            <w:pPr>
              <w:rPr>
                <w:rFonts w:ascii="Garamond" w:eastAsia="Calibri" w:hAnsi="Garamond" w:cs="Times New Roman"/>
                <w:color w:val="000000" w:themeColor="text1"/>
                <w:sz w:val="20"/>
                <w:szCs w:val="20"/>
              </w:rPr>
            </w:pPr>
          </w:p>
        </w:tc>
        <w:tc>
          <w:tcPr>
            <w:tcW w:w="6570" w:type="dxa"/>
          </w:tcPr>
          <w:p w14:paraId="7A5BC8EB" w14:textId="77777777" w:rsidR="00AD7857" w:rsidRPr="00573A55" w:rsidRDefault="00AD7857" w:rsidP="00AD7857">
            <w:pPr>
              <w:rPr>
                <w:rFonts w:ascii="Garamond" w:hAnsi="Garamond"/>
                <w:color w:val="000000" w:themeColor="text1"/>
                <w:sz w:val="20"/>
                <w:szCs w:val="20"/>
              </w:rPr>
            </w:pPr>
          </w:p>
        </w:tc>
      </w:tr>
    </w:tbl>
    <w:p w14:paraId="42CE7700" w14:textId="77777777" w:rsidR="00C2470B" w:rsidRPr="00813173" w:rsidRDefault="00C2470B" w:rsidP="00AD7857">
      <w:pPr>
        <w:spacing w:line="480" w:lineRule="auto"/>
        <w:rPr>
          <w:rFonts w:ascii="Garamond" w:hAnsi="Garamond" w:cs="Times New Roman"/>
        </w:rPr>
      </w:pPr>
    </w:p>
    <w:p w14:paraId="239925C7" w14:textId="77777777" w:rsidR="00AD7857" w:rsidRPr="00A4770B" w:rsidRDefault="00AD7857" w:rsidP="00AD7857">
      <w:pPr>
        <w:pStyle w:val="Tabletitle"/>
      </w:pPr>
      <w:r w:rsidRPr="00A4770B">
        <w:t>Table 2: Summary Statistics</w:t>
      </w:r>
    </w:p>
    <w:p w14:paraId="6D087A43" w14:textId="672A27EB" w:rsidR="00AD7857" w:rsidRPr="00813173" w:rsidRDefault="00AD7857" w:rsidP="00AD7857">
      <w:pPr>
        <w:spacing w:after="120"/>
        <w:jc w:val="both"/>
        <w:rPr>
          <w:rFonts w:ascii="Garamond" w:hAnsi="Garamond"/>
          <w:sz w:val="20"/>
          <w:szCs w:val="20"/>
        </w:rPr>
      </w:pPr>
      <w:r w:rsidRPr="00A4770B">
        <w:rPr>
          <w:rFonts w:ascii="Garamond" w:hAnsi="Garamond"/>
          <w:sz w:val="20"/>
          <w:szCs w:val="20"/>
        </w:rPr>
        <w:t xml:space="preserve">Summary statistics of data for which </w:t>
      </w:r>
      <w:r w:rsidR="009D5719">
        <w:rPr>
          <w:rFonts w:ascii="Garamond" w:hAnsi="Garamond"/>
          <w:sz w:val="20"/>
          <w:szCs w:val="20"/>
        </w:rPr>
        <w:t>residential</w:t>
      </w:r>
      <w:r w:rsidRPr="00A4770B">
        <w:rPr>
          <w:rFonts w:ascii="Garamond" w:hAnsi="Garamond"/>
          <w:sz w:val="20"/>
          <w:szCs w:val="20"/>
        </w:rPr>
        <w:t xml:space="preserve"> mobility, total cases, and policy stringency are available, restricted to days after total cases per million initially surpassed </w:t>
      </w:r>
      <w:r w:rsidR="009D5719">
        <w:rPr>
          <w:rFonts w:ascii="Garamond" w:hAnsi="Garamond"/>
          <w:sz w:val="20"/>
          <w:szCs w:val="20"/>
        </w:rPr>
        <w:t>two</w:t>
      </w:r>
      <w:r w:rsidRPr="00A4770B">
        <w:rPr>
          <w:rFonts w:ascii="Garamond" w:hAnsi="Garamond"/>
          <w:sz w:val="20"/>
          <w:szCs w:val="20"/>
        </w:rPr>
        <w:t>. Asterisk * indicates variables which have been logged.</w:t>
      </w:r>
    </w:p>
    <w:tbl>
      <w:tblPr>
        <w:tblW w:w="0" w:type="auto"/>
        <w:tblLook w:val="04A0" w:firstRow="1" w:lastRow="0" w:firstColumn="1" w:lastColumn="0" w:noHBand="0" w:noVBand="1"/>
      </w:tblPr>
      <w:tblGrid>
        <w:gridCol w:w="2520"/>
        <w:gridCol w:w="1350"/>
        <w:gridCol w:w="1350"/>
        <w:gridCol w:w="1350"/>
        <w:gridCol w:w="1350"/>
        <w:gridCol w:w="1350"/>
      </w:tblGrid>
      <w:tr w:rsidR="00AD7857" w:rsidRPr="00A4770B" w14:paraId="1C639C68" w14:textId="77777777" w:rsidTr="00AD7857">
        <w:tc>
          <w:tcPr>
            <w:tcW w:w="2520" w:type="dxa"/>
            <w:tcBorders>
              <w:top w:val="single" w:sz="4" w:space="0" w:color="auto"/>
              <w:bottom w:val="single" w:sz="4" w:space="0" w:color="auto"/>
            </w:tcBorders>
          </w:tcPr>
          <w:p w14:paraId="79475CB0"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Variable</w:t>
            </w:r>
          </w:p>
        </w:tc>
        <w:tc>
          <w:tcPr>
            <w:tcW w:w="1350" w:type="dxa"/>
            <w:tcBorders>
              <w:top w:val="single" w:sz="4" w:space="0" w:color="auto"/>
              <w:bottom w:val="single" w:sz="4" w:space="0" w:color="auto"/>
            </w:tcBorders>
          </w:tcPr>
          <w:p w14:paraId="41BBD1FC"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Mean</w:t>
            </w:r>
          </w:p>
        </w:tc>
        <w:tc>
          <w:tcPr>
            <w:tcW w:w="1350" w:type="dxa"/>
            <w:tcBorders>
              <w:top w:val="single" w:sz="4" w:space="0" w:color="auto"/>
              <w:bottom w:val="single" w:sz="4" w:space="0" w:color="auto"/>
            </w:tcBorders>
          </w:tcPr>
          <w:p w14:paraId="5D7388BC"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Sd</w:t>
            </w:r>
          </w:p>
        </w:tc>
        <w:tc>
          <w:tcPr>
            <w:tcW w:w="1350" w:type="dxa"/>
            <w:tcBorders>
              <w:top w:val="single" w:sz="4" w:space="0" w:color="auto"/>
              <w:bottom w:val="single" w:sz="4" w:space="0" w:color="auto"/>
            </w:tcBorders>
          </w:tcPr>
          <w:p w14:paraId="34518C7C"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Min</w:t>
            </w:r>
          </w:p>
        </w:tc>
        <w:tc>
          <w:tcPr>
            <w:tcW w:w="1350" w:type="dxa"/>
            <w:tcBorders>
              <w:top w:val="single" w:sz="4" w:space="0" w:color="auto"/>
              <w:bottom w:val="single" w:sz="4" w:space="0" w:color="auto"/>
            </w:tcBorders>
          </w:tcPr>
          <w:p w14:paraId="37873203"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Max</w:t>
            </w:r>
          </w:p>
        </w:tc>
        <w:tc>
          <w:tcPr>
            <w:tcW w:w="1350" w:type="dxa"/>
            <w:tcBorders>
              <w:top w:val="single" w:sz="4" w:space="0" w:color="auto"/>
              <w:bottom w:val="single" w:sz="4" w:space="0" w:color="auto"/>
            </w:tcBorders>
          </w:tcPr>
          <w:p w14:paraId="58966312" w14:textId="77777777" w:rsidR="00AD7857" w:rsidRPr="00A4770B" w:rsidRDefault="00AD7857" w:rsidP="00AD7857">
            <w:pPr>
              <w:rPr>
                <w:rFonts w:ascii="Garamond" w:hAnsi="Garamond"/>
                <w:b/>
                <w:bCs/>
                <w:i/>
                <w:iCs/>
                <w:color w:val="000000" w:themeColor="text1"/>
                <w:sz w:val="20"/>
                <w:szCs w:val="20"/>
              </w:rPr>
            </w:pPr>
            <w:r w:rsidRPr="00A4770B">
              <w:rPr>
                <w:rFonts w:ascii="Garamond" w:hAnsi="Garamond"/>
                <w:b/>
                <w:bCs/>
                <w:i/>
                <w:iCs/>
                <w:color w:val="000000" w:themeColor="text1"/>
                <w:sz w:val="20"/>
                <w:szCs w:val="20"/>
              </w:rPr>
              <w:t>N</w:t>
            </w:r>
          </w:p>
        </w:tc>
      </w:tr>
      <w:tr w:rsidR="00AD7857" w:rsidRPr="00A4770B" w14:paraId="0B987FAF" w14:textId="77777777" w:rsidTr="00AD7857">
        <w:tc>
          <w:tcPr>
            <w:tcW w:w="2520" w:type="dxa"/>
          </w:tcPr>
          <w:p w14:paraId="347406B7" w14:textId="0283BDDA" w:rsidR="00AD7857" w:rsidRPr="00A4770B" w:rsidRDefault="00AD7857" w:rsidP="00AD7857">
            <w:pPr>
              <w:spacing w:before="120"/>
              <w:rPr>
                <w:rFonts w:ascii="Garamond" w:hAnsi="Garamond"/>
                <w:color w:val="000000" w:themeColor="text1"/>
                <w:sz w:val="20"/>
                <w:szCs w:val="20"/>
              </w:rPr>
            </w:pPr>
            <w:r w:rsidRPr="00A4770B">
              <w:rPr>
                <w:rFonts w:ascii="Garamond" w:hAnsi="Garamond"/>
                <w:b/>
                <w:i/>
                <w:color w:val="000000" w:themeColor="text1"/>
                <w:sz w:val="20"/>
                <w:szCs w:val="20"/>
              </w:rPr>
              <w:t>COVID-19 Variable</w:t>
            </w:r>
          </w:p>
        </w:tc>
        <w:tc>
          <w:tcPr>
            <w:tcW w:w="1350" w:type="dxa"/>
          </w:tcPr>
          <w:p w14:paraId="62327884"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45463838"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31E79523"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1C511C8F"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6EC1604E" w14:textId="77777777" w:rsidR="00AD7857" w:rsidRPr="00A4770B" w:rsidRDefault="00AD7857" w:rsidP="00AD7857">
            <w:pPr>
              <w:spacing w:before="120"/>
              <w:rPr>
                <w:rFonts w:ascii="Garamond" w:hAnsi="Garamond"/>
                <w:color w:val="000000" w:themeColor="text1"/>
                <w:sz w:val="20"/>
                <w:szCs w:val="20"/>
              </w:rPr>
            </w:pPr>
          </w:p>
        </w:tc>
      </w:tr>
      <w:tr w:rsidR="00AD7857" w:rsidRPr="00A4770B" w14:paraId="65829862" w14:textId="77777777" w:rsidTr="00AD7857">
        <w:tc>
          <w:tcPr>
            <w:tcW w:w="2520" w:type="dxa"/>
          </w:tcPr>
          <w:p w14:paraId="14786C41" w14:textId="77777777" w:rsidR="00AD7857" w:rsidRPr="00A4770B" w:rsidDel="00042916"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*New cases per million</w:t>
            </w:r>
          </w:p>
        </w:tc>
        <w:tc>
          <w:tcPr>
            <w:tcW w:w="1350" w:type="dxa"/>
          </w:tcPr>
          <w:p w14:paraId="6ADDBD32" w14:textId="77777777" w:rsidR="00AD7857" w:rsidRPr="00A4770B" w:rsidRDefault="00AD7857" w:rsidP="00AD7857">
            <w:pPr>
              <w:spacing w:before="120"/>
              <w:rPr>
                <w:rFonts w:ascii="Garamond" w:eastAsia="Calibri" w:hAnsi="Garamond" w:cs="Times New Roman"/>
                <w:color w:val="000000" w:themeColor="text1"/>
                <w:sz w:val="20"/>
                <w:szCs w:val="20"/>
              </w:rPr>
            </w:pPr>
            <w:r w:rsidRPr="00A4770B">
              <w:rPr>
                <w:rFonts w:ascii="Garamond" w:eastAsia="Calibri" w:hAnsi="Garamond" w:cs="Times New Roman"/>
                <w:color w:val="000000" w:themeColor="text1"/>
                <w:sz w:val="20"/>
                <w:szCs w:val="20"/>
              </w:rPr>
              <w:t>1.61</w:t>
            </w:r>
          </w:p>
        </w:tc>
        <w:tc>
          <w:tcPr>
            <w:tcW w:w="1350" w:type="dxa"/>
          </w:tcPr>
          <w:p w14:paraId="57B02139"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3.60</w:t>
            </w:r>
          </w:p>
        </w:tc>
        <w:tc>
          <w:tcPr>
            <w:tcW w:w="1350" w:type="dxa"/>
          </w:tcPr>
          <w:p w14:paraId="1AF75D81"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-13.82</w:t>
            </w:r>
          </w:p>
        </w:tc>
        <w:tc>
          <w:tcPr>
            <w:tcW w:w="1350" w:type="dxa"/>
          </w:tcPr>
          <w:p w14:paraId="1ECAD084"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5.92</w:t>
            </w:r>
          </w:p>
        </w:tc>
        <w:tc>
          <w:tcPr>
            <w:tcW w:w="1350" w:type="dxa"/>
          </w:tcPr>
          <w:p w14:paraId="65AE29B3" w14:textId="255E3A90"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3EC31E77" w14:textId="77777777" w:rsidTr="00AD7857">
        <w:tc>
          <w:tcPr>
            <w:tcW w:w="2520" w:type="dxa"/>
          </w:tcPr>
          <w:p w14:paraId="6EF45303"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b/>
                <w:i/>
                <w:color w:val="000000" w:themeColor="text1"/>
                <w:sz w:val="20"/>
                <w:szCs w:val="20"/>
              </w:rPr>
              <w:t>Mobility Variables</w:t>
            </w:r>
          </w:p>
        </w:tc>
        <w:tc>
          <w:tcPr>
            <w:tcW w:w="1350" w:type="dxa"/>
          </w:tcPr>
          <w:p w14:paraId="2E21853D" w14:textId="77777777" w:rsidR="00AD7857" w:rsidRPr="00A4770B" w:rsidRDefault="00AD7857" w:rsidP="00AD7857">
            <w:pPr>
              <w:spacing w:before="120"/>
              <w:rPr>
                <w:rFonts w:ascii="Garamond" w:eastAsia="Calibri" w:hAnsi="Garamond" w:cs="Times New Roman"/>
                <w:sz w:val="20"/>
                <w:szCs w:val="20"/>
              </w:rPr>
            </w:pPr>
          </w:p>
        </w:tc>
        <w:tc>
          <w:tcPr>
            <w:tcW w:w="1350" w:type="dxa"/>
          </w:tcPr>
          <w:p w14:paraId="57014568"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66D09539"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6AF9A1DE" w14:textId="77777777" w:rsidR="00AD7857" w:rsidRPr="00A4770B" w:rsidRDefault="00AD7857" w:rsidP="00AD7857">
            <w:pPr>
              <w:spacing w:before="120"/>
              <w:rPr>
                <w:rFonts w:ascii="Garamond" w:hAnsi="Garamond"/>
                <w:color w:val="000000" w:themeColor="text1"/>
                <w:sz w:val="20"/>
                <w:szCs w:val="20"/>
              </w:rPr>
            </w:pPr>
          </w:p>
        </w:tc>
        <w:tc>
          <w:tcPr>
            <w:tcW w:w="1350" w:type="dxa"/>
          </w:tcPr>
          <w:p w14:paraId="05C3ACA6" w14:textId="77777777" w:rsidR="00AD7857" w:rsidRPr="00A4770B" w:rsidRDefault="00AD7857" w:rsidP="00AD7857">
            <w:pPr>
              <w:spacing w:before="120"/>
              <w:rPr>
                <w:rFonts w:ascii="Garamond" w:hAnsi="Garamond"/>
                <w:color w:val="000000" w:themeColor="text1"/>
                <w:sz w:val="20"/>
                <w:szCs w:val="20"/>
              </w:rPr>
            </w:pPr>
          </w:p>
        </w:tc>
      </w:tr>
      <w:tr w:rsidR="00AD7857" w:rsidRPr="00A4770B" w14:paraId="15CF95BE" w14:textId="77777777" w:rsidTr="00AD7857">
        <w:tc>
          <w:tcPr>
            <w:tcW w:w="2520" w:type="dxa"/>
          </w:tcPr>
          <w:p w14:paraId="5E74A3FB"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Retail mobility</w:t>
            </w:r>
          </w:p>
        </w:tc>
        <w:tc>
          <w:tcPr>
            <w:tcW w:w="1350" w:type="dxa"/>
          </w:tcPr>
          <w:p w14:paraId="3BC3AB7A" w14:textId="77777777" w:rsidR="00AD7857" w:rsidRPr="00A4770B" w:rsidRDefault="00AD7857" w:rsidP="00AD7857">
            <w:pPr>
              <w:spacing w:before="120"/>
              <w:rPr>
                <w:rFonts w:ascii="Garamond" w:eastAsia="Calibri" w:hAnsi="Garamond" w:cs="Times New Roman"/>
                <w:sz w:val="20"/>
                <w:szCs w:val="20"/>
              </w:rPr>
            </w:pPr>
            <w:r w:rsidRPr="00A4770B">
              <w:rPr>
                <w:rFonts w:ascii="Garamond" w:eastAsia="Calibri" w:hAnsi="Garamond" w:cs="Times New Roman"/>
                <w:sz w:val="20"/>
                <w:szCs w:val="20"/>
              </w:rPr>
              <w:t>-29.52</w:t>
            </w:r>
          </w:p>
        </w:tc>
        <w:tc>
          <w:tcPr>
            <w:tcW w:w="1350" w:type="dxa"/>
          </w:tcPr>
          <w:p w14:paraId="5C96323F"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28.97</w:t>
            </w:r>
          </w:p>
        </w:tc>
        <w:tc>
          <w:tcPr>
            <w:tcW w:w="1350" w:type="dxa"/>
          </w:tcPr>
          <w:p w14:paraId="09128D4E"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-97</w:t>
            </w:r>
          </w:p>
        </w:tc>
        <w:tc>
          <w:tcPr>
            <w:tcW w:w="1350" w:type="dxa"/>
          </w:tcPr>
          <w:p w14:paraId="27C3AAD3"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42</w:t>
            </w:r>
          </w:p>
        </w:tc>
        <w:tc>
          <w:tcPr>
            <w:tcW w:w="1350" w:type="dxa"/>
          </w:tcPr>
          <w:p w14:paraId="187D310E" w14:textId="10C7BD3B"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183BC325" w14:textId="77777777" w:rsidTr="00AD7857">
        <w:tc>
          <w:tcPr>
            <w:tcW w:w="2520" w:type="dxa"/>
          </w:tcPr>
          <w:p w14:paraId="57B06194"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Grocery mobility</w:t>
            </w:r>
          </w:p>
        </w:tc>
        <w:tc>
          <w:tcPr>
            <w:tcW w:w="1350" w:type="dxa"/>
          </w:tcPr>
          <w:p w14:paraId="249C5684" w14:textId="77777777" w:rsidR="00AD7857" w:rsidRPr="00A4770B" w:rsidRDefault="00AD7857" w:rsidP="00AD7857">
            <w:pPr>
              <w:spacing w:before="120"/>
              <w:rPr>
                <w:rFonts w:ascii="Garamond" w:eastAsia="Calibri" w:hAnsi="Garamond" w:cs="Times New Roman"/>
                <w:sz w:val="20"/>
                <w:szCs w:val="20"/>
              </w:rPr>
            </w:pPr>
            <w:r w:rsidRPr="00A4770B">
              <w:rPr>
                <w:rFonts w:ascii="Garamond" w:eastAsia="Calibri" w:hAnsi="Garamond" w:cs="Times New Roman"/>
                <w:sz w:val="20"/>
                <w:szCs w:val="20"/>
              </w:rPr>
              <w:t>-8.95</w:t>
            </w:r>
          </w:p>
        </w:tc>
        <w:tc>
          <w:tcPr>
            <w:tcW w:w="1350" w:type="dxa"/>
          </w:tcPr>
          <w:p w14:paraId="1CAFC113"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21.54</w:t>
            </w:r>
          </w:p>
        </w:tc>
        <w:tc>
          <w:tcPr>
            <w:tcW w:w="1350" w:type="dxa"/>
          </w:tcPr>
          <w:p w14:paraId="1D8EB572"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-97</w:t>
            </w:r>
          </w:p>
        </w:tc>
        <w:tc>
          <w:tcPr>
            <w:tcW w:w="1350" w:type="dxa"/>
          </w:tcPr>
          <w:p w14:paraId="06D38B18"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84</w:t>
            </w:r>
          </w:p>
        </w:tc>
        <w:tc>
          <w:tcPr>
            <w:tcW w:w="1350" w:type="dxa"/>
          </w:tcPr>
          <w:p w14:paraId="7C8BBF6D" w14:textId="6FD22484"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w:t>
            </w:r>
            <w:r w:rsidR="009D5719">
              <w:rPr>
                <w:rFonts w:ascii="Garamond" w:hAnsi="Garamond"/>
                <w:color w:val="000000" w:themeColor="text1"/>
                <w:sz w:val="20"/>
                <w:szCs w:val="20"/>
              </w:rPr>
              <w:t>87</w:t>
            </w:r>
          </w:p>
        </w:tc>
      </w:tr>
      <w:tr w:rsidR="00AD7857" w:rsidRPr="00A4770B" w14:paraId="71E590C3" w14:textId="77777777" w:rsidTr="00AD7857">
        <w:tc>
          <w:tcPr>
            <w:tcW w:w="2520" w:type="dxa"/>
          </w:tcPr>
          <w:p w14:paraId="47BA105F"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Park mobility</w:t>
            </w:r>
          </w:p>
        </w:tc>
        <w:tc>
          <w:tcPr>
            <w:tcW w:w="1350" w:type="dxa"/>
          </w:tcPr>
          <w:p w14:paraId="4812F39D" w14:textId="77777777" w:rsidR="00AD7857" w:rsidRPr="00A4770B" w:rsidRDefault="00AD7857" w:rsidP="00AD7857">
            <w:pPr>
              <w:spacing w:before="120"/>
              <w:rPr>
                <w:rFonts w:ascii="Garamond" w:eastAsia="Calibri" w:hAnsi="Garamond" w:cs="Times New Roman"/>
                <w:sz w:val="20"/>
                <w:szCs w:val="20"/>
              </w:rPr>
            </w:pPr>
            <w:r w:rsidRPr="00A4770B">
              <w:rPr>
                <w:rFonts w:ascii="Garamond" w:eastAsia="Calibri" w:hAnsi="Garamond" w:cs="Times New Roman"/>
                <w:sz w:val="20"/>
                <w:szCs w:val="20"/>
              </w:rPr>
              <w:t>46.04</w:t>
            </w:r>
          </w:p>
        </w:tc>
        <w:tc>
          <w:tcPr>
            <w:tcW w:w="1350" w:type="dxa"/>
          </w:tcPr>
          <w:p w14:paraId="1A18A57B"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80.88</w:t>
            </w:r>
          </w:p>
        </w:tc>
        <w:tc>
          <w:tcPr>
            <w:tcW w:w="1350" w:type="dxa"/>
          </w:tcPr>
          <w:p w14:paraId="3E911230"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-91</w:t>
            </w:r>
          </w:p>
        </w:tc>
        <w:tc>
          <w:tcPr>
            <w:tcW w:w="1350" w:type="dxa"/>
          </w:tcPr>
          <w:p w14:paraId="5E737F3F"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517</w:t>
            </w:r>
          </w:p>
        </w:tc>
        <w:tc>
          <w:tcPr>
            <w:tcW w:w="1350" w:type="dxa"/>
          </w:tcPr>
          <w:p w14:paraId="0FE57C7D" w14:textId="1AA25B73"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7DDD1262" w14:textId="77777777" w:rsidTr="00AD7857">
        <w:tc>
          <w:tcPr>
            <w:tcW w:w="2520" w:type="dxa"/>
            <w:tcBorders>
              <w:top w:val="nil"/>
              <w:left w:val="nil"/>
              <w:bottom w:val="nil"/>
              <w:right w:val="nil"/>
            </w:tcBorders>
          </w:tcPr>
          <w:p w14:paraId="0EEF8260"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Transit mobility</w:t>
            </w:r>
          </w:p>
        </w:tc>
        <w:tc>
          <w:tcPr>
            <w:tcW w:w="1350" w:type="dxa"/>
            <w:tcBorders>
              <w:top w:val="nil"/>
              <w:left w:val="nil"/>
              <w:bottom w:val="nil"/>
              <w:right w:val="nil"/>
            </w:tcBorders>
          </w:tcPr>
          <w:p w14:paraId="15696855"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-33.98</w:t>
            </w:r>
          </w:p>
        </w:tc>
        <w:tc>
          <w:tcPr>
            <w:tcW w:w="1350" w:type="dxa"/>
            <w:tcBorders>
              <w:top w:val="nil"/>
              <w:left w:val="nil"/>
              <w:bottom w:val="nil"/>
              <w:right w:val="nil"/>
            </w:tcBorders>
          </w:tcPr>
          <w:p w14:paraId="07D434FD"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22.64</w:t>
            </w:r>
          </w:p>
        </w:tc>
        <w:tc>
          <w:tcPr>
            <w:tcW w:w="1350" w:type="dxa"/>
            <w:tcBorders>
              <w:top w:val="nil"/>
              <w:left w:val="nil"/>
              <w:bottom w:val="nil"/>
              <w:right w:val="nil"/>
            </w:tcBorders>
          </w:tcPr>
          <w:p w14:paraId="7301728C"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-93</w:t>
            </w:r>
          </w:p>
        </w:tc>
        <w:tc>
          <w:tcPr>
            <w:tcW w:w="1350" w:type="dxa"/>
            <w:tcBorders>
              <w:top w:val="nil"/>
              <w:left w:val="nil"/>
              <w:bottom w:val="nil"/>
              <w:right w:val="nil"/>
            </w:tcBorders>
          </w:tcPr>
          <w:p w14:paraId="19945E3F"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48</w:t>
            </w:r>
          </w:p>
        </w:tc>
        <w:tc>
          <w:tcPr>
            <w:tcW w:w="1350" w:type="dxa"/>
            <w:tcBorders>
              <w:top w:val="nil"/>
              <w:left w:val="nil"/>
              <w:bottom w:val="nil"/>
              <w:right w:val="nil"/>
            </w:tcBorders>
          </w:tcPr>
          <w:p w14:paraId="6BF05440" w14:textId="1343C7D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7AB34170" w14:textId="77777777" w:rsidTr="00AD7857">
        <w:tc>
          <w:tcPr>
            <w:tcW w:w="2520" w:type="dxa"/>
            <w:tcBorders>
              <w:top w:val="nil"/>
              <w:left w:val="nil"/>
              <w:bottom w:val="nil"/>
              <w:right w:val="nil"/>
            </w:tcBorders>
          </w:tcPr>
          <w:p w14:paraId="2517329D"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 xml:space="preserve">Workplace mobility </w:t>
            </w:r>
          </w:p>
        </w:tc>
        <w:tc>
          <w:tcPr>
            <w:tcW w:w="1350" w:type="dxa"/>
            <w:tcBorders>
              <w:top w:val="nil"/>
              <w:left w:val="nil"/>
              <w:bottom w:val="nil"/>
              <w:right w:val="nil"/>
            </w:tcBorders>
          </w:tcPr>
          <w:p w14:paraId="05FD7200"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-31.49</w:t>
            </w:r>
          </w:p>
        </w:tc>
        <w:tc>
          <w:tcPr>
            <w:tcW w:w="1350" w:type="dxa"/>
            <w:tcBorders>
              <w:top w:val="nil"/>
              <w:left w:val="nil"/>
              <w:bottom w:val="nil"/>
              <w:right w:val="nil"/>
            </w:tcBorders>
          </w:tcPr>
          <w:p w14:paraId="670B2FFB"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21.31</w:t>
            </w:r>
          </w:p>
        </w:tc>
        <w:tc>
          <w:tcPr>
            <w:tcW w:w="1350" w:type="dxa"/>
            <w:tcBorders>
              <w:top w:val="nil"/>
              <w:left w:val="nil"/>
              <w:bottom w:val="nil"/>
              <w:right w:val="nil"/>
            </w:tcBorders>
          </w:tcPr>
          <w:p w14:paraId="333CA30D"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-92</w:t>
            </w:r>
          </w:p>
        </w:tc>
        <w:tc>
          <w:tcPr>
            <w:tcW w:w="1350" w:type="dxa"/>
            <w:tcBorders>
              <w:top w:val="nil"/>
              <w:left w:val="nil"/>
              <w:bottom w:val="nil"/>
              <w:right w:val="nil"/>
            </w:tcBorders>
          </w:tcPr>
          <w:p w14:paraId="3847EEA8"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80</w:t>
            </w:r>
          </w:p>
        </w:tc>
        <w:tc>
          <w:tcPr>
            <w:tcW w:w="1350" w:type="dxa"/>
            <w:tcBorders>
              <w:top w:val="nil"/>
              <w:left w:val="nil"/>
              <w:bottom w:val="nil"/>
              <w:right w:val="nil"/>
            </w:tcBorders>
          </w:tcPr>
          <w:p w14:paraId="3A9B8111" w14:textId="476A8FF5"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70B66625" w14:textId="77777777" w:rsidTr="00AD7857">
        <w:tc>
          <w:tcPr>
            <w:tcW w:w="2520" w:type="dxa"/>
            <w:tcBorders>
              <w:top w:val="nil"/>
              <w:left w:val="nil"/>
              <w:bottom w:val="nil"/>
              <w:right w:val="nil"/>
            </w:tcBorders>
          </w:tcPr>
          <w:p w14:paraId="49E264D7" w14:textId="77777777" w:rsidR="00AD7857" w:rsidRPr="00256F3E" w:rsidRDefault="00AD7857" w:rsidP="00AD7857">
            <w:pPr>
              <w:spacing w:before="120"/>
              <w:rPr>
                <w:rFonts w:ascii="Garamond" w:hAnsi="Garamond"/>
                <w:color w:val="000000" w:themeColor="text1"/>
                <w:sz w:val="20"/>
                <w:szCs w:val="20"/>
              </w:rPr>
            </w:pPr>
            <w:r w:rsidRPr="00256F3E">
              <w:rPr>
                <w:rFonts w:ascii="Garamond" w:hAnsi="Garamond"/>
                <w:color w:val="000000" w:themeColor="text1"/>
                <w:sz w:val="20"/>
                <w:szCs w:val="20"/>
              </w:rPr>
              <w:t>Residential mobility</w:t>
            </w:r>
          </w:p>
        </w:tc>
        <w:tc>
          <w:tcPr>
            <w:tcW w:w="1350" w:type="dxa"/>
            <w:tcBorders>
              <w:top w:val="nil"/>
              <w:left w:val="nil"/>
              <w:bottom w:val="nil"/>
              <w:right w:val="nil"/>
            </w:tcBorders>
          </w:tcPr>
          <w:p w14:paraId="0D436F64" w14:textId="77777777" w:rsidR="00AD7857" w:rsidRPr="00256F3E" w:rsidRDefault="00AD7857" w:rsidP="00AD7857">
            <w:pPr>
              <w:spacing w:before="120"/>
              <w:rPr>
                <w:rFonts w:ascii="Garamond" w:hAnsi="Garamond"/>
                <w:color w:val="000000" w:themeColor="text1"/>
                <w:sz w:val="20"/>
                <w:szCs w:val="20"/>
              </w:rPr>
            </w:pPr>
            <w:r w:rsidRPr="00256F3E">
              <w:rPr>
                <w:rFonts w:ascii="Garamond" w:hAnsi="Garamond"/>
                <w:color w:val="000000" w:themeColor="text1"/>
                <w:sz w:val="20"/>
                <w:szCs w:val="20"/>
              </w:rPr>
              <w:t>9.44</w:t>
            </w:r>
          </w:p>
        </w:tc>
        <w:tc>
          <w:tcPr>
            <w:tcW w:w="1350" w:type="dxa"/>
            <w:tcBorders>
              <w:top w:val="nil"/>
              <w:left w:val="nil"/>
              <w:bottom w:val="nil"/>
              <w:right w:val="nil"/>
            </w:tcBorders>
          </w:tcPr>
          <w:p w14:paraId="6F14F64A"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9.67</w:t>
            </w:r>
          </w:p>
        </w:tc>
        <w:tc>
          <w:tcPr>
            <w:tcW w:w="1350" w:type="dxa"/>
            <w:tcBorders>
              <w:top w:val="nil"/>
              <w:left w:val="nil"/>
              <w:bottom w:val="nil"/>
              <w:right w:val="nil"/>
            </w:tcBorders>
          </w:tcPr>
          <w:p w14:paraId="1239601C"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-35</w:t>
            </w:r>
          </w:p>
        </w:tc>
        <w:tc>
          <w:tcPr>
            <w:tcW w:w="1350" w:type="dxa"/>
            <w:tcBorders>
              <w:top w:val="nil"/>
              <w:left w:val="nil"/>
              <w:bottom w:val="nil"/>
              <w:right w:val="nil"/>
            </w:tcBorders>
          </w:tcPr>
          <w:p w14:paraId="3E28C2F3"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46</w:t>
            </w:r>
          </w:p>
        </w:tc>
        <w:tc>
          <w:tcPr>
            <w:tcW w:w="1350" w:type="dxa"/>
            <w:tcBorders>
              <w:top w:val="nil"/>
              <w:left w:val="nil"/>
              <w:bottom w:val="nil"/>
              <w:right w:val="nil"/>
            </w:tcBorders>
          </w:tcPr>
          <w:p w14:paraId="3CCBC7A2"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5492</w:t>
            </w:r>
          </w:p>
        </w:tc>
      </w:tr>
      <w:tr w:rsidR="00AD7857" w:rsidRPr="00A4770B" w14:paraId="317334DD" w14:textId="77777777" w:rsidTr="00AD7857">
        <w:tc>
          <w:tcPr>
            <w:tcW w:w="2520" w:type="dxa"/>
            <w:tcBorders>
              <w:top w:val="nil"/>
              <w:left w:val="nil"/>
              <w:bottom w:val="nil"/>
              <w:right w:val="nil"/>
            </w:tcBorders>
          </w:tcPr>
          <w:p w14:paraId="6AE628C1" w14:textId="70DCCEB6" w:rsidR="00AD7857" w:rsidRPr="00256F3E" w:rsidRDefault="005E11B2" w:rsidP="00AD7857">
            <w:pPr>
              <w:spacing w:before="120"/>
              <w:rPr>
                <w:rFonts w:ascii="Garamond" w:hAnsi="Garamond"/>
                <w:color w:val="000000" w:themeColor="text1"/>
                <w:sz w:val="20"/>
                <w:szCs w:val="20"/>
              </w:rPr>
            </w:pPr>
            <w:r w:rsidRPr="00256F3E">
              <w:rPr>
                <w:rFonts w:ascii="Garamond" w:hAnsi="Garamond"/>
                <w:b/>
                <w:i/>
                <w:color w:val="000000" w:themeColor="text1"/>
                <w:sz w:val="20"/>
                <w:szCs w:val="20"/>
              </w:rPr>
              <w:t>Other</w:t>
            </w:r>
            <w:r w:rsidR="00AD7857" w:rsidRPr="00256F3E">
              <w:rPr>
                <w:rFonts w:ascii="Garamond" w:hAnsi="Garamond"/>
                <w:b/>
                <w:i/>
                <w:color w:val="000000" w:themeColor="text1"/>
                <w:sz w:val="20"/>
                <w:szCs w:val="20"/>
              </w:rPr>
              <w:t xml:space="preserve"> Variables</w:t>
            </w:r>
          </w:p>
        </w:tc>
        <w:tc>
          <w:tcPr>
            <w:tcW w:w="1350" w:type="dxa"/>
            <w:tcBorders>
              <w:top w:val="nil"/>
              <w:left w:val="nil"/>
              <w:bottom w:val="nil"/>
              <w:right w:val="nil"/>
            </w:tcBorders>
          </w:tcPr>
          <w:p w14:paraId="1AB66602" w14:textId="77777777" w:rsidR="00AD7857" w:rsidRPr="00256F3E" w:rsidRDefault="00AD7857" w:rsidP="00AD7857">
            <w:pPr>
              <w:spacing w:before="120"/>
              <w:rPr>
                <w:rFonts w:ascii="Garamond" w:eastAsia="Calibri" w:hAnsi="Garamond" w:cs="Times New Roman"/>
                <w:sz w:val="20"/>
                <w:szCs w:val="20"/>
              </w:rPr>
            </w:pPr>
          </w:p>
        </w:tc>
        <w:tc>
          <w:tcPr>
            <w:tcW w:w="1350" w:type="dxa"/>
            <w:tcBorders>
              <w:top w:val="nil"/>
              <w:left w:val="nil"/>
              <w:bottom w:val="nil"/>
              <w:right w:val="nil"/>
            </w:tcBorders>
          </w:tcPr>
          <w:p w14:paraId="627411CC" w14:textId="77777777" w:rsidR="00AD7857" w:rsidRPr="00A4770B" w:rsidRDefault="00AD7857" w:rsidP="00AD7857">
            <w:pPr>
              <w:spacing w:before="120"/>
              <w:rPr>
                <w:rFonts w:ascii="Garamond" w:hAnsi="Garamond"/>
                <w:color w:val="000000" w:themeColor="text1"/>
                <w:sz w:val="20"/>
                <w:szCs w:val="20"/>
              </w:rPr>
            </w:pPr>
          </w:p>
        </w:tc>
        <w:tc>
          <w:tcPr>
            <w:tcW w:w="1350" w:type="dxa"/>
            <w:tcBorders>
              <w:top w:val="nil"/>
              <w:left w:val="nil"/>
              <w:bottom w:val="nil"/>
              <w:right w:val="nil"/>
            </w:tcBorders>
          </w:tcPr>
          <w:p w14:paraId="19DBAC5C" w14:textId="77777777" w:rsidR="00AD7857" w:rsidRPr="00A4770B" w:rsidRDefault="00AD7857" w:rsidP="00AD7857">
            <w:pPr>
              <w:spacing w:before="120"/>
              <w:rPr>
                <w:rFonts w:ascii="Garamond" w:hAnsi="Garamond"/>
                <w:color w:val="000000" w:themeColor="text1"/>
                <w:sz w:val="20"/>
                <w:szCs w:val="20"/>
              </w:rPr>
            </w:pPr>
          </w:p>
        </w:tc>
        <w:tc>
          <w:tcPr>
            <w:tcW w:w="1350" w:type="dxa"/>
            <w:tcBorders>
              <w:top w:val="nil"/>
              <w:left w:val="nil"/>
              <w:bottom w:val="nil"/>
              <w:right w:val="nil"/>
            </w:tcBorders>
          </w:tcPr>
          <w:p w14:paraId="1B6FF275" w14:textId="77777777" w:rsidR="00AD7857" w:rsidRPr="00A4770B" w:rsidRDefault="00AD7857" w:rsidP="00AD7857">
            <w:pPr>
              <w:spacing w:before="120"/>
              <w:rPr>
                <w:rFonts w:ascii="Garamond" w:hAnsi="Garamond"/>
                <w:color w:val="000000" w:themeColor="text1"/>
                <w:sz w:val="20"/>
                <w:szCs w:val="20"/>
              </w:rPr>
            </w:pPr>
          </w:p>
        </w:tc>
        <w:tc>
          <w:tcPr>
            <w:tcW w:w="1350" w:type="dxa"/>
            <w:tcBorders>
              <w:top w:val="nil"/>
              <w:left w:val="nil"/>
              <w:bottom w:val="nil"/>
              <w:right w:val="nil"/>
            </w:tcBorders>
          </w:tcPr>
          <w:p w14:paraId="30B52C5A" w14:textId="77777777" w:rsidR="00AD7857" w:rsidRPr="00A4770B" w:rsidRDefault="00AD7857" w:rsidP="00AD7857">
            <w:pPr>
              <w:spacing w:before="120"/>
              <w:rPr>
                <w:rFonts w:ascii="Garamond" w:hAnsi="Garamond"/>
                <w:color w:val="000000" w:themeColor="text1"/>
                <w:sz w:val="20"/>
                <w:szCs w:val="20"/>
              </w:rPr>
            </w:pPr>
          </w:p>
        </w:tc>
      </w:tr>
      <w:tr w:rsidR="00AD7857" w:rsidRPr="00A4770B" w14:paraId="181EBC19" w14:textId="77777777" w:rsidTr="00AD7857">
        <w:tc>
          <w:tcPr>
            <w:tcW w:w="2520" w:type="dxa"/>
            <w:tcBorders>
              <w:top w:val="nil"/>
              <w:left w:val="nil"/>
              <w:bottom w:val="nil"/>
              <w:right w:val="nil"/>
            </w:tcBorders>
          </w:tcPr>
          <w:p w14:paraId="2BBFD6A8" w14:textId="77777777" w:rsidR="00AD7857" w:rsidRPr="00256F3E" w:rsidRDefault="00AD7857" w:rsidP="00AD7857">
            <w:pPr>
              <w:spacing w:before="120"/>
              <w:rPr>
                <w:rFonts w:ascii="Garamond" w:hAnsi="Garamond"/>
                <w:b/>
                <w:i/>
                <w:color w:val="000000" w:themeColor="text1"/>
                <w:sz w:val="20"/>
                <w:szCs w:val="20"/>
              </w:rPr>
            </w:pPr>
            <w:r w:rsidRPr="00256F3E">
              <w:rPr>
                <w:rFonts w:ascii="Garamond" w:hAnsi="Garamond"/>
                <w:color w:val="000000" w:themeColor="text1"/>
                <w:sz w:val="20"/>
                <w:szCs w:val="20"/>
              </w:rPr>
              <w:t>Days elapsed</w:t>
            </w:r>
          </w:p>
        </w:tc>
        <w:tc>
          <w:tcPr>
            <w:tcW w:w="1350" w:type="dxa"/>
            <w:tcBorders>
              <w:top w:val="nil"/>
              <w:left w:val="nil"/>
              <w:bottom w:val="nil"/>
              <w:right w:val="nil"/>
            </w:tcBorders>
          </w:tcPr>
          <w:p w14:paraId="799AB2BC" w14:textId="77777777" w:rsidR="00AD7857" w:rsidRPr="00256F3E" w:rsidRDefault="00AD7857" w:rsidP="00AD7857">
            <w:pPr>
              <w:spacing w:before="120"/>
              <w:rPr>
                <w:rFonts w:ascii="Garamond" w:eastAsia="Calibri" w:hAnsi="Garamond" w:cs="Times New Roman"/>
                <w:sz w:val="20"/>
                <w:szCs w:val="20"/>
              </w:rPr>
            </w:pPr>
            <w:r w:rsidRPr="00256F3E">
              <w:rPr>
                <w:rFonts w:ascii="Garamond" w:eastAsia="Calibri" w:hAnsi="Garamond" w:cs="Times New Roman"/>
                <w:sz w:val="20"/>
                <w:szCs w:val="20"/>
              </w:rPr>
              <w:t>80.92</w:t>
            </w:r>
          </w:p>
        </w:tc>
        <w:tc>
          <w:tcPr>
            <w:tcW w:w="1350" w:type="dxa"/>
            <w:tcBorders>
              <w:top w:val="nil"/>
              <w:left w:val="nil"/>
              <w:bottom w:val="nil"/>
              <w:right w:val="nil"/>
            </w:tcBorders>
          </w:tcPr>
          <w:p w14:paraId="3EC7CFFB" w14:textId="77777777" w:rsidR="00AD7857" w:rsidRPr="00A4770B" w:rsidRDefault="00AD7857" w:rsidP="00AD7857">
            <w:pPr>
              <w:spacing w:before="120"/>
              <w:rPr>
                <w:rFonts w:ascii="Garamond" w:hAnsi="Garamond"/>
                <w:color w:val="000000" w:themeColor="text1"/>
                <w:sz w:val="20"/>
                <w:szCs w:val="20"/>
              </w:rPr>
            </w:pPr>
            <w:r>
              <w:rPr>
                <w:rFonts w:ascii="Garamond" w:hAnsi="Garamond"/>
                <w:color w:val="000000" w:themeColor="text1"/>
                <w:sz w:val="20"/>
                <w:szCs w:val="20"/>
              </w:rPr>
              <w:t>45.32</w:t>
            </w:r>
          </w:p>
        </w:tc>
        <w:tc>
          <w:tcPr>
            <w:tcW w:w="1350" w:type="dxa"/>
            <w:tcBorders>
              <w:top w:val="nil"/>
              <w:left w:val="nil"/>
              <w:bottom w:val="nil"/>
              <w:right w:val="nil"/>
            </w:tcBorders>
          </w:tcPr>
          <w:p w14:paraId="1282A96D" w14:textId="77777777" w:rsidR="00AD7857" w:rsidRPr="00A4770B" w:rsidRDefault="00AD7857" w:rsidP="00AD7857">
            <w:pPr>
              <w:spacing w:before="120"/>
              <w:rPr>
                <w:rFonts w:ascii="Garamond" w:hAnsi="Garamond"/>
                <w:color w:val="000000" w:themeColor="text1"/>
                <w:sz w:val="20"/>
                <w:szCs w:val="20"/>
              </w:rPr>
            </w:pPr>
            <w:r>
              <w:rPr>
                <w:rFonts w:ascii="Garamond" w:hAnsi="Garamond"/>
                <w:color w:val="000000" w:themeColor="text1"/>
                <w:sz w:val="20"/>
                <w:szCs w:val="20"/>
              </w:rPr>
              <w:t>1</w:t>
            </w:r>
          </w:p>
        </w:tc>
        <w:tc>
          <w:tcPr>
            <w:tcW w:w="1350" w:type="dxa"/>
            <w:tcBorders>
              <w:top w:val="nil"/>
              <w:left w:val="nil"/>
              <w:bottom w:val="nil"/>
              <w:right w:val="nil"/>
            </w:tcBorders>
          </w:tcPr>
          <w:p w14:paraId="39AA7AE3" w14:textId="77777777" w:rsidR="00AD7857" w:rsidRPr="00A4770B" w:rsidRDefault="00AD7857" w:rsidP="00AD7857">
            <w:pPr>
              <w:spacing w:before="120"/>
              <w:rPr>
                <w:rFonts w:ascii="Garamond" w:hAnsi="Garamond"/>
                <w:color w:val="000000" w:themeColor="text1"/>
                <w:sz w:val="20"/>
                <w:szCs w:val="20"/>
              </w:rPr>
            </w:pPr>
            <w:r>
              <w:rPr>
                <w:rFonts w:ascii="Garamond" w:hAnsi="Garamond"/>
                <w:color w:val="000000" w:themeColor="text1"/>
                <w:sz w:val="20"/>
                <w:szCs w:val="20"/>
              </w:rPr>
              <w:t>170</w:t>
            </w:r>
          </w:p>
        </w:tc>
        <w:tc>
          <w:tcPr>
            <w:tcW w:w="1350" w:type="dxa"/>
            <w:tcBorders>
              <w:top w:val="nil"/>
              <w:left w:val="nil"/>
              <w:bottom w:val="nil"/>
              <w:right w:val="nil"/>
            </w:tcBorders>
          </w:tcPr>
          <w:p w14:paraId="5C392A75" w14:textId="594A58A2" w:rsidR="00AD7857" w:rsidRPr="00A4770B" w:rsidRDefault="00AD7857" w:rsidP="00AD7857">
            <w:pPr>
              <w:spacing w:before="120"/>
              <w:rPr>
                <w:rFonts w:ascii="Garamond" w:hAnsi="Garamond"/>
                <w:color w:val="000000" w:themeColor="text1"/>
                <w:sz w:val="20"/>
                <w:szCs w:val="20"/>
              </w:rPr>
            </w:pPr>
            <w:r>
              <w:rPr>
                <w:rFonts w:ascii="Garamond" w:hAnsi="Garamond"/>
                <w:color w:val="000000" w:themeColor="text1"/>
                <w:sz w:val="20"/>
                <w:szCs w:val="20"/>
              </w:rPr>
              <w:t>549</w:t>
            </w:r>
            <w:r w:rsidR="009D5719">
              <w:rPr>
                <w:rFonts w:ascii="Garamond" w:hAnsi="Garamond"/>
                <w:color w:val="000000" w:themeColor="text1"/>
                <w:sz w:val="20"/>
                <w:szCs w:val="20"/>
              </w:rPr>
              <w:t>2</w:t>
            </w:r>
          </w:p>
        </w:tc>
      </w:tr>
      <w:tr w:rsidR="00AD7857" w:rsidRPr="00A4770B" w14:paraId="33114484" w14:textId="77777777" w:rsidTr="00AD7857">
        <w:tc>
          <w:tcPr>
            <w:tcW w:w="2520" w:type="dxa"/>
            <w:tcBorders>
              <w:top w:val="nil"/>
              <w:left w:val="nil"/>
              <w:bottom w:val="single" w:sz="4" w:space="0" w:color="auto"/>
              <w:right w:val="nil"/>
            </w:tcBorders>
          </w:tcPr>
          <w:p w14:paraId="6E9A4C65" w14:textId="77777777" w:rsidR="00AD7857" w:rsidRPr="00813173" w:rsidRDefault="00AD7857" w:rsidP="00AD7857">
            <w:pPr>
              <w:spacing w:before="120"/>
              <w:rPr>
                <w:rFonts w:ascii="Garamond" w:hAnsi="Garamond"/>
                <w:b/>
                <w:i/>
                <w:color w:val="000000" w:themeColor="text1"/>
                <w:sz w:val="20"/>
                <w:szCs w:val="20"/>
              </w:rPr>
            </w:pPr>
            <w:r w:rsidRPr="00A4770B">
              <w:rPr>
                <w:rFonts w:ascii="Garamond" w:hAnsi="Garamond"/>
                <w:color w:val="000000" w:themeColor="text1"/>
                <w:sz w:val="20"/>
                <w:szCs w:val="20"/>
              </w:rPr>
              <w:t>Policy Stringency</w:t>
            </w:r>
          </w:p>
        </w:tc>
        <w:tc>
          <w:tcPr>
            <w:tcW w:w="1350" w:type="dxa"/>
            <w:tcBorders>
              <w:top w:val="nil"/>
              <w:left w:val="nil"/>
              <w:bottom w:val="single" w:sz="4" w:space="0" w:color="auto"/>
              <w:right w:val="nil"/>
            </w:tcBorders>
          </w:tcPr>
          <w:p w14:paraId="3071AB90" w14:textId="77777777" w:rsidR="00AD7857" w:rsidRPr="00813173" w:rsidRDefault="00AD7857" w:rsidP="00AD7857">
            <w:pPr>
              <w:spacing w:before="120"/>
              <w:rPr>
                <w:rFonts w:ascii="Garamond" w:eastAsia="Calibri" w:hAnsi="Garamond" w:cs="Times New Roman"/>
                <w:sz w:val="20"/>
                <w:szCs w:val="20"/>
              </w:rPr>
            </w:pPr>
            <w:r w:rsidRPr="00813173">
              <w:rPr>
                <w:rFonts w:ascii="Garamond" w:eastAsia="Calibri" w:hAnsi="Garamond" w:cs="Times New Roman"/>
                <w:sz w:val="20"/>
                <w:szCs w:val="20"/>
              </w:rPr>
              <w:t>59.38</w:t>
            </w:r>
          </w:p>
        </w:tc>
        <w:tc>
          <w:tcPr>
            <w:tcW w:w="1350" w:type="dxa"/>
            <w:tcBorders>
              <w:top w:val="nil"/>
              <w:left w:val="nil"/>
              <w:bottom w:val="single" w:sz="4" w:space="0" w:color="auto"/>
              <w:right w:val="nil"/>
            </w:tcBorders>
          </w:tcPr>
          <w:p w14:paraId="13CF8A4F" w14:textId="77777777" w:rsidR="00AD7857" w:rsidRPr="00813173" w:rsidRDefault="00AD7857" w:rsidP="00AD7857">
            <w:pPr>
              <w:spacing w:before="120"/>
              <w:rPr>
                <w:rFonts w:ascii="Garamond" w:hAnsi="Garamond"/>
                <w:color w:val="000000" w:themeColor="text1"/>
                <w:sz w:val="20"/>
                <w:szCs w:val="20"/>
              </w:rPr>
            </w:pPr>
            <w:r w:rsidRPr="00813173">
              <w:rPr>
                <w:rFonts w:ascii="Garamond" w:hAnsi="Garamond"/>
                <w:color w:val="000000" w:themeColor="text1"/>
                <w:sz w:val="20"/>
                <w:szCs w:val="20"/>
              </w:rPr>
              <w:t>21.27</w:t>
            </w:r>
          </w:p>
        </w:tc>
        <w:tc>
          <w:tcPr>
            <w:tcW w:w="1350" w:type="dxa"/>
            <w:tcBorders>
              <w:top w:val="nil"/>
              <w:left w:val="nil"/>
              <w:bottom w:val="single" w:sz="4" w:space="0" w:color="auto"/>
              <w:right w:val="nil"/>
            </w:tcBorders>
          </w:tcPr>
          <w:p w14:paraId="1BF9A7C2"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0</w:t>
            </w:r>
          </w:p>
        </w:tc>
        <w:tc>
          <w:tcPr>
            <w:tcW w:w="1350" w:type="dxa"/>
            <w:tcBorders>
              <w:top w:val="nil"/>
              <w:left w:val="nil"/>
              <w:bottom w:val="single" w:sz="4" w:space="0" w:color="auto"/>
              <w:right w:val="nil"/>
            </w:tcBorders>
          </w:tcPr>
          <w:p w14:paraId="53A573A6" w14:textId="77777777"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100</w:t>
            </w:r>
          </w:p>
        </w:tc>
        <w:tc>
          <w:tcPr>
            <w:tcW w:w="1350" w:type="dxa"/>
            <w:tcBorders>
              <w:top w:val="nil"/>
              <w:left w:val="nil"/>
              <w:bottom w:val="single" w:sz="4" w:space="0" w:color="auto"/>
              <w:right w:val="nil"/>
            </w:tcBorders>
          </w:tcPr>
          <w:p w14:paraId="0D528DA9" w14:textId="3E8B62CD" w:rsidR="00AD7857" w:rsidRPr="00A4770B" w:rsidRDefault="00AD7857" w:rsidP="00AD7857">
            <w:pPr>
              <w:spacing w:before="120"/>
              <w:rPr>
                <w:rFonts w:ascii="Garamond" w:hAnsi="Garamond"/>
                <w:color w:val="000000" w:themeColor="text1"/>
                <w:sz w:val="20"/>
                <w:szCs w:val="20"/>
              </w:rPr>
            </w:pPr>
            <w:r w:rsidRPr="00A4770B">
              <w:rPr>
                <w:rFonts w:ascii="Garamond" w:hAnsi="Garamond"/>
                <w:color w:val="000000" w:themeColor="text1"/>
                <w:sz w:val="20"/>
                <w:szCs w:val="20"/>
              </w:rPr>
              <w:t>549</w:t>
            </w:r>
            <w:r w:rsidR="009D5719">
              <w:rPr>
                <w:rFonts w:ascii="Garamond" w:hAnsi="Garamond"/>
                <w:color w:val="000000" w:themeColor="text1"/>
                <w:sz w:val="20"/>
                <w:szCs w:val="20"/>
              </w:rPr>
              <w:t>2</w:t>
            </w:r>
          </w:p>
        </w:tc>
      </w:tr>
    </w:tbl>
    <w:p w14:paraId="7F388DFA" w14:textId="77777777" w:rsidR="00C2470B" w:rsidRDefault="00C2470B" w:rsidP="00AD7857">
      <w:pPr>
        <w:spacing w:line="480" w:lineRule="auto"/>
        <w:rPr>
          <w:rFonts w:ascii="Garamond" w:hAnsi="Garamond" w:cs="Times New Roman"/>
          <w:b/>
        </w:rPr>
      </w:pPr>
    </w:p>
    <w:p w14:paraId="450C2FA9" w14:textId="56730289" w:rsidR="00256F3E" w:rsidRDefault="00256F3E" w:rsidP="00AD7857">
      <w:pPr>
        <w:spacing w:line="480" w:lineRule="auto"/>
        <w:rPr>
          <w:rFonts w:ascii="Garamond" w:hAnsi="Garamond" w:cs="Times New Roman"/>
          <w:b/>
        </w:rPr>
      </w:pPr>
      <w:r>
        <w:rPr>
          <w:rFonts w:ascii="Garamond" w:hAnsi="Garamond" w:cs="Times New Roman"/>
          <w:b/>
        </w:rPr>
        <w:lastRenderedPageBreak/>
        <w:t>Table 3. Results from Model 3.1</w:t>
      </w:r>
      <w:r w:rsidR="003723A0">
        <w:rPr>
          <w:rFonts w:ascii="Garamond" w:hAnsi="Garamond" w:cs="Times New Roman"/>
          <w:b/>
        </w:rPr>
        <w:t xml:space="preserve"> </w:t>
      </w:r>
    </w:p>
    <w:tbl>
      <w:tblPr>
        <w:tblW w:w="9630" w:type="dxa"/>
        <w:tblLook w:val="04A0" w:firstRow="1" w:lastRow="0" w:firstColumn="1" w:lastColumn="0" w:noHBand="0" w:noVBand="1"/>
      </w:tblPr>
      <w:tblGrid>
        <w:gridCol w:w="2035"/>
        <w:gridCol w:w="1497"/>
        <w:gridCol w:w="1134"/>
        <w:gridCol w:w="1253"/>
        <w:gridCol w:w="1168"/>
        <w:gridCol w:w="1480"/>
        <w:gridCol w:w="1451"/>
      </w:tblGrid>
      <w:tr w:rsidR="009D5719" w:rsidRPr="009D5719" w14:paraId="5832341A" w14:textId="77777777" w:rsidTr="00C360B7">
        <w:trPr>
          <w:trHeight w:val="280"/>
        </w:trPr>
        <w:tc>
          <w:tcPr>
            <w:tcW w:w="0" w:type="auto"/>
            <w:tcBorders>
              <w:top w:val="single" w:sz="4" w:space="0" w:color="000000"/>
              <w:left w:val="nil"/>
              <w:bottom w:val="nil"/>
              <w:right w:val="nil"/>
            </w:tcBorders>
            <w:shd w:val="clear" w:color="auto" w:fill="auto"/>
            <w:noWrap/>
            <w:vAlign w:val="bottom"/>
            <w:hideMark/>
          </w:tcPr>
          <w:p w14:paraId="743A21F2"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75352B2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w:t>
            </w:r>
          </w:p>
        </w:tc>
        <w:tc>
          <w:tcPr>
            <w:tcW w:w="0" w:type="auto"/>
            <w:tcBorders>
              <w:top w:val="single" w:sz="4" w:space="0" w:color="000000"/>
              <w:left w:val="nil"/>
              <w:bottom w:val="nil"/>
              <w:right w:val="nil"/>
            </w:tcBorders>
            <w:shd w:val="clear" w:color="auto" w:fill="auto"/>
            <w:noWrap/>
            <w:vAlign w:val="bottom"/>
            <w:hideMark/>
          </w:tcPr>
          <w:p w14:paraId="13C5B39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w:t>
            </w:r>
          </w:p>
        </w:tc>
        <w:tc>
          <w:tcPr>
            <w:tcW w:w="0" w:type="auto"/>
            <w:tcBorders>
              <w:top w:val="single" w:sz="4" w:space="0" w:color="000000"/>
              <w:left w:val="nil"/>
              <w:bottom w:val="nil"/>
              <w:right w:val="nil"/>
            </w:tcBorders>
            <w:shd w:val="clear" w:color="auto" w:fill="auto"/>
            <w:noWrap/>
            <w:vAlign w:val="bottom"/>
            <w:hideMark/>
          </w:tcPr>
          <w:p w14:paraId="2288614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w:t>
            </w:r>
          </w:p>
        </w:tc>
        <w:tc>
          <w:tcPr>
            <w:tcW w:w="0" w:type="auto"/>
            <w:tcBorders>
              <w:top w:val="single" w:sz="4" w:space="0" w:color="000000"/>
              <w:left w:val="nil"/>
              <w:bottom w:val="nil"/>
              <w:right w:val="nil"/>
            </w:tcBorders>
            <w:shd w:val="clear" w:color="auto" w:fill="auto"/>
            <w:noWrap/>
            <w:vAlign w:val="bottom"/>
            <w:hideMark/>
          </w:tcPr>
          <w:p w14:paraId="6508D96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w:t>
            </w:r>
          </w:p>
        </w:tc>
        <w:tc>
          <w:tcPr>
            <w:tcW w:w="0" w:type="auto"/>
            <w:tcBorders>
              <w:top w:val="single" w:sz="4" w:space="0" w:color="000000"/>
              <w:left w:val="nil"/>
              <w:bottom w:val="nil"/>
              <w:right w:val="nil"/>
            </w:tcBorders>
            <w:shd w:val="clear" w:color="auto" w:fill="auto"/>
            <w:noWrap/>
            <w:vAlign w:val="bottom"/>
            <w:hideMark/>
          </w:tcPr>
          <w:p w14:paraId="1F8A155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w:t>
            </w:r>
          </w:p>
        </w:tc>
        <w:tc>
          <w:tcPr>
            <w:tcW w:w="1451" w:type="dxa"/>
            <w:tcBorders>
              <w:top w:val="single" w:sz="4" w:space="0" w:color="000000"/>
              <w:left w:val="nil"/>
              <w:bottom w:val="nil"/>
              <w:right w:val="nil"/>
            </w:tcBorders>
            <w:shd w:val="clear" w:color="auto" w:fill="auto"/>
            <w:noWrap/>
            <w:vAlign w:val="bottom"/>
            <w:hideMark/>
          </w:tcPr>
          <w:p w14:paraId="0F62B12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(6)</w:t>
            </w:r>
          </w:p>
        </w:tc>
      </w:tr>
      <w:tr w:rsidR="009D5719" w:rsidRPr="009D5719" w14:paraId="1C4CE009" w14:textId="77777777" w:rsidTr="00C360B7">
        <w:trPr>
          <w:trHeight w:val="280"/>
        </w:trPr>
        <w:tc>
          <w:tcPr>
            <w:tcW w:w="0" w:type="auto"/>
            <w:tcBorders>
              <w:top w:val="nil"/>
              <w:left w:val="nil"/>
              <w:bottom w:val="nil"/>
              <w:right w:val="nil"/>
            </w:tcBorders>
            <w:shd w:val="clear" w:color="auto" w:fill="auto"/>
            <w:noWrap/>
            <w:vAlign w:val="bottom"/>
            <w:hideMark/>
          </w:tcPr>
          <w:p w14:paraId="19059F9E"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VARIABLES</w:t>
            </w:r>
          </w:p>
        </w:tc>
        <w:tc>
          <w:tcPr>
            <w:tcW w:w="0" w:type="auto"/>
            <w:tcBorders>
              <w:top w:val="nil"/>
              <w:left w:val="nil"/>
              <w:bottom w:val="nil"/>
              <w:right w:val="nil"/>
            </w:tcBorders>
            <w:shd w:val="clear" w:color="auto" w:fill="auto"/>
            <w:noWrap/>
            <w:vAlign w:val="bottom"/>
            <w:hideMark/>
          </w:tcPr>
          <w:p w14:paraId="07C91F88"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gmr_residential</w:t>
            </w:r>
            <w:proofErr w:type="spellEnd"/>
          </w:p>
        </w:tc>
        <w:tc>
          <w:tcPr>
            <w:tcW w:w="0" w:type="auto"/>
            <w:tcBorders>
              <w:top w:val="nil"/>
              <w:left w:val="nil"/>
              <w:bottom w:val="nil"/>
              <w:right w:val="nil"/>
            </w:tcBorders>
            <w:shd w:val="clear" w:color="auto" w:fill="auto"/>
            <w:noWrap/>
            <w:vAlign w:val="bottom"/>
            <w:hideMark/>
          </w:tcPr>
          <w:p w14:paraId="49CB618C"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gmr_retail</w:t>
            </w:r>
            <w:proofErr w:type="spellEnd"/>
          </w:p>
        </w:tc>
        <w:tc>
          <w:tcPr>
            <w:tcW w:w="0" w:type="auto"/>
            <w:tcBorders>
              <w:top w:val="nil"/>
              <w:left w:val="nil"/>
              <w:bottom w:val="nil"/>
              <w:right w:val="nil"/>
            </w:tcBorders>
            <w:shd w:val="clear" w:color="auto" w:fill="auto"/>
            <w:noWrap/>
            <w:vAlign w:val="bottom"/>
            <w:hideMark/>
          </w:tcPr>
          <w:p w14:paraId="1A6A1A18"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gmr_grocery</w:t>
            </w:r>
            <w:proofErr w:type="spellEnd"/>
          </w:p>
        </w:tc>
        <w:tc>
          <w:tcPr>
            <w:tcW w:w="0" w:type="auto"/>
            <w:tcBorders>
              <w:top w:val="nil"/>
              <w:left w:val="nil"/>
              <w:bottom w:val="nil"/>
              <w:right w:val="nil"/>
            </w:tcBorders>
            <w:shd w:val="clear" w:color="auto" w:fill="auto"/>
            <w:noWrap/>
            <w:vAlign w:val="bottom"/>
            <w:hideMark/>
          </w:tcPr>
          <w:p w14:paraId="7377C336"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gmr_transit</w:t>
            </w:r>
            <w:proofErr w:type="spellEnd"/>
          </w:p>
        </w:tc>
        <w:tc>
          <w:tcPr>
            <w:tcW w:w="0" w:type="auto"/>
            <w:tcBorders>
              <w:top w:val="nil"/>
              <w:left w:val="nil"/>
              <w:bottom w:val="nil"/>
              <w:right w:val="nil"/>
            </w:tcBorders>
            <w:shd w:val="clear" w:color="auto" w:fill="auto"/>
            <w:noWrap/>
            <w:vAlign w:val="bottom"/>
            <w:hideMark/>
          </w:tcPr>
          <w:p w14:paraId="5488ED2C"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gmr_workplace</w:t>
            </w:r>
            <w:proofErr w:type="spellEnd"/>
          </w:p>
        </w:tc>
        <w:tc>
          <w:tcPr>
            <w:tcW w:w="1451" w:type="dxa"/>
            <w:tcBorders>
              <w:top w:val="nil"/>
              <w:left w:val="nil"/>
              <w:bottom w:val="nil"/>
              <w:right w:val="nil"/>
            </w:tcBorders>
            <w:shd w:val="clear" w:color="auto" w:fill="auto"/>
            <w:noWrap/>
            <w:vAlign w:val="bottom"/>
            <w:hideMark/>
          </w:tcPr>
          <w:p w14:paraId="23FF82E2" w14:textId="77777777" w:rsidR="009D5719" w:rsidRPr="009D5719" w:rsidRDefault="009D5719" w:rsidP="009D5719">
            <w:pPr>
              <w:jc w:val="center"/>
              <w:rPr>
                <w:rFonts w:ascii="Calibri" w:eastAsia="Times New Roman" w:hAnsi="Calibri" w:cs="Calibri"/>
                <w:sz w:val="20"/>
                <w:szCs w:val="20"/>
              </w:rPr>
            </w:pPr>
            <w:proofErr w:type="spellStart"/>
            <w:r w:rsidRPr="009D5719">
              <w:rPr>
                <w:rFonts w:ascii="Calibri" w:eastAsia="Times New Roman" w:hAnsi="Calibri" w:cs="Calibri"/>
                <w:sz w:val="20"/>
                <w:szCs w:val="20"/>
              </w:rPr>
              <w:t>gmr_parks</w:t>
            </w:r>
            <w:proofErr w:type="spellEnd"/>
          </w:p>
        </w:tc>
      </w:tr>
      <w:tr w:rsidR="009D5719" w:rsidRPr="009D5719" w14:paraId="33A0BB50" w14:textId="77777777" w:rsidTr="00C360B7">
        <w:trPr>
          <w:trHeight w:val="280"/>
        </w:trPr>
        <w:tc>
          <w:tcPr>
            <w:tcW w:w="0" w:type="auto"/>
            <w:tcBorders>
              <w:top w:val="single" w:sz="4" w:space="0" w:color="000000"/>
              <w:left w:val="nil"/>
              <w:bottom w:val="nil"/>
              <w:right w:val="nil"/>
            </w:tcBorders>
            <w:shd w:val="clear" w:color="auto" w:fill="auto"/>
            <w:noWrap/>
            <w:vAlign w:val="bottom"/>
            <w:hideMark/>
          </w:tcPr>
          <w:p w14:paraId="4C3B7B22"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20EF943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22165CD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4EF4BA4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1D9A767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49C013D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c>
          <w:tcPr>
            <w:tcW w:w="1451" w:type="dxa"/>
            <w:tcBorders>
              <w:top w:val="single" w:sz="4" w:space="0" w:color="000000"/>
              <w:left w:val="nil"/>
              <w:bottom w:val="nil"/>
              <w:right w:val="nil"/>
            </w:tcBorders>
            <w:shd w:val="clear" w:color="auto" w:fill="auto"/>
            <w:noWrap/>
            <w:vAlign w:val="bottom"/>
            <w:hideMark/>
          </w:tcPr>
          <w:p w14:paraId="68C6F48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 </w:t>
            </w:r>
          </w:p>
        </w:tc>
      </w:tr>
      <w:tr w:rsidR="009D5719" w:rsidRPr="009D5719" w14:paraId="09A2B746" w14:textId="77777777" w:rsidTr="00C360B7">
        <w:trPr>
          <w:trHeight w:val="280"/>
        </w:trPr>
        <w:tc>
          <w:tcPr>
            <w:tcW w:w="0" w:type="auto"/>
            <w:tcBorders>
              <w:top w:val="nil"/>
              <w:left w:val="nil"/>
              <w:bottom w:val="nil"/>
              <w:right w:val="nil"/>
            </w:tcBorders>
            <w:shd w:val="clear" w:color="auto" w:fill="auto"/>
            <w:noWrap/>
            <w:vAlign w:val="bottom"/>
            <w:hideMark/>
          </w:tcPr>
          <w:p w14:paraId="383EA9BB" w14:textId="77777777" w:rsidR="009D5719" w:rsidRPr="009D5719" w:rsidRDefault="009D5719" w:rsidP="009D5719">
            <w:pPr>
              <w:rPr>
                <w:rFonts w:ascii="Calibri" w:eastAsia="Times New Roman" w:hAnsi="Calibri" w:cs="Calibri"/>
                <w:sz w:val="20"/>
                <w:szCs w:val="20"/>
              </w:rPr>
            </w:pPr>
            <w:proofErr w:type="spellStart"/>
            <w:r w:rsidRPr="009D5719">
              <w:rPr>
                <w:rFonts w:ascii="Calibri" w:eastAsia="Times New Roman" w:hAnsi="Calibri" w:cs="Calibri"/>
                <w:sz w:val="20"/>
                <w:szCs w:val="20"/>
              </w:rPr>
              <w:t>lnnew_cases_per_mln</w:t>
            </w:r>
            <w:proofErr w:type="spellEnd"/>
          </w:p>
        </w:tc>
        <w:tc>
          <w:tcPr>
            <w:tcW w:w="0" w:type="auto"/>
            <w:tcBorders>
              <w:top w:val="nil"/>
              <w:left w:val="nil"/>
              <w:bottom w:val="nil"/>
              <w:right w:val="nil"/>
            </w:tcBorders>
            <w:shd w:val="clear" w:color="auto" w:fill="auto"/>
            <w:noWrap/>
            <w:vAlign w:val="bottom"/>
            <w:hideMark/>
          </w:tcPr>
          <w:p w14:paraId="5702313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0.091**</w:t>
            </w:r>
          </w:p>
        </w:tc>
        <w:tc>
          <w:tcPr>
            <w:tcW w:w="0" w:type="auto"/>
            <w:tcBorders>
              <w:top w:val="nil"/>
              <w:left w:val="nil"/>
              <w:bottom w:val="nil"/>
              <w:right w:val="nil"/>
            </w:tcBorders>
            <w:shd w:val="clear" w:color="auto" w:fill="auto"/>
            <w:noWrap/>
            <w:vAlign w:val="bottom"/>
            <w:hideMark/>
          </w:tcPr>
          <w:p w14:paraId="0A26F35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-0.201*</w:t>
            </w:r>
          </w:p>
        </w:tc>
        <w:tc>
          <w:tcPr>
            <w:tcW w:w="0" w:type="auto"/>
            <w:tcBorders>
              <w:top w:val="nil"/>
              <w:left w:val="nil"/>
              <w:bottom w:val="nil"/>
              <w:right w:val="nil"/>
            </w:tcBorders>
            <w:shd w:val="clear" w:color="auto" w:fill="auto"/>
            <w:noWrap/>
            <w:vAlign w:val="bottom"/>
            <w:hideMark/>
          </w:tcPr>
          <w:p w14:paraId="1352C4E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-0.134</w:t>
            </w:r>
          </w:p>
        </w:tc>
        <w:tc>
          <w:tcPr>
            <w:tcW w:w="0" w:type="auto"/>
            <w:tcBorders>
              <w:top w:val="nil"/>
              <w:left w:val="nil"/>
              <w:bottom w:val="nil"/>
              <w:right w:val="nil"/>
            </w:tcBorders>
            <w:shd w:val="clear" w:color="auto" w:fill="auto"/>
            <w:noWrap/>
            <w:vAlign w:val="bottom"/>
            <w:hideMark/>
          </w:tcPr>
          <w:p w14:paraId="69577E8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-0.103</w:t>
            </w:r>
          </w:p>
        </w:tc>
        <w:tc>
          <w:tcPr>
            <w:tcW w:w="0" w:type="auto"/>
            <w:tcBorders>
              <w:top w:val="nil"/>
              <w:left w:val="nil"/>
              <w:bottom w:val="nil"/>
              <w:right w:val="nil"/>
            </w:tcBorders>
            <w:shd w:val="clear" w:color="auto" w:fill="auto"/>
            <w:noWrap/>
            <w:vAlign w:val="bottom"/>
            <w:hideMark/>
          </w:tcPr>
          <w:p w14:paraId="5C9E8B0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-0.170</w:t>
            </w:r>
          </w:p>
        </w:tc>
        <w:tc>
          <w:tcPr>
            <w:tcW w:w="1451" w:type="dxa"/>
            <w:tcBorders>
              <w:top w:val="nil"/>
              <w:left w:val="nil"/>
              <w:bottom w:val="nil"/>
              <w:right w:val="nil"/>
            </w:tcBorders>
            <w:shd w:val="clear" w:color="auto" w:fill="auto"/>
            <w:noWrap/>
            <w:vAlign w:val="bottom"/>
            <w:hideMark/>
          </w:tcPr>
          <w:p w14:paraId="4948D1B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-0.328</w:t>
            </w:r>
          </w:p>
        </w:tc>
      </w:tr>
      <w:tr w:rsidR="009D5719" w:rsidRPr="009D5719" w14:paraId="34E4FCF9" w14:textId="77777777" w:rsidTr="00C360B7">
        <w:trPr>
          <w:trHeight w:val="280"/>
        </w:trPr>
        <w:tc>
          <w:tcPr>
            <w:tcW w:w="0" w:type="auto"/>
            <w:tcBorders>
              <w:top w:val="nil"/>
              <w:left w:val="nil"/>
              <w:bottom w:val="nil"/>
              <w:right w:val="nil"/>
            </w:tcBorders>
            <w:shd w:val="clear" w:color="auto" w:fill="auto"/>
            <w:noWrap/>
            <w:vAlign w:val="bottom"/>
            <w:hideMark/>
          </w:tcPr>
          <w:p w14:paraId="425D9EB8"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1C9ECBB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(0.039)</w:t>
            </w:r>
          </w:p>
        </w:tc>
        <w:tc>
          <w:tcPr>
            <w:tcW w:w="0" w:type="auto"/>
            <w:tcBorders>
              <w:top w:val="nil"/>
              <w:left w:val="nil"/>
              <w:bottom w:val="nil"/>
              <w:right w:val="nil"/>
            </w:tcBorders>
            <w:shd w:val="clear" w:color="auto" w:fill="auto"/>
            <w:noWrap/>
            <w:vAlign w:val="bottom"/>
            <w:hideMark/>
          </w:tcPr>
          <w:p w14:paraId="12FA014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(0.100)</w:t>
            </w:r>
          </w:p>
        </w:tc>
        <w:tc>
          <w:tcPr>
            <w:tcW w:w="0" w:type="auto"/>
            <w:tcBorders>
              <w:top w:val="nil"/>
              <w:left w:val="nil"/>
              <w:bottom w:val="nil"/>
              <w:right w:val="nil"/>
            </w:tcBorders>
            <w:shd w:val="clear" w:color="auto" w:fill="auto"/>
            <w:noWrap/>
            <w:vAlign w:val="bottom"/>
            <w:hideMark/>
          </w:tcPr>
          <w:p w14:paraId="1C0FB37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(0.103)</w:t>
            </w:r>
          </w:p>
        </w:tc>
        <w:tc>
          <w:tcPr>
            <w:tcW w:w="0" w:type="auto"/>
            <w:tcBorders>
              <w:top w:val="nil"/>
              <w:left w:val="nil"/>
              <w:bottom w:val="nil"/>
              <w:right w:val="nil"/>
            </w:tcBorders>
            <w:shd w:val="clear" w:color="auto" w:fill="auto"/>
            <w:noWrap/>
            <w:vAlign w:val="bottom"/>
            <w:hideMark/>
          </w:tcPr>
          <w:p w14:paraId="2163EE2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(0.079)</w:t>
            </w:r>
          </w:p>
        </w:tc>
        <w:tc>
          <w:tcPr>
            <w:tcW w:w="0" w:type="auto"/>
            <w:tcBorders>
              <w:top w:val="nil"/>
              <w:left w:val="nil"/>
              <w:bottom w:val="nil"/>
              <w:right w:val="nil"/>
            </w:tcBorders>
            <w:shd w:val="clear" w:color="auto" w:fill="auto"/>
            <w:noWrap/>
            <w:vAlign w:val="bottom"/>
            <w:hideMark/>
          </w:tcPr>
          <w:p w14:paraId="11B47B4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(0.152)</w:t>
            </w:r>
          </w:p>
        </w:tc>
        <w:tc>
          <w:tcPr>
            <w:tcW w:w="1451" w:type="dxa"/>
            <w:tcBorders>
              <w:top w:val="nil"/>
              <w:left w:val="nil"/>
              <w:bottom w:val="nil"/>
              <w:right w:val="nil"/>
            </w:tcBorders>
            <w:shd w:val="clear" w:color="auto" w:fill="auto"/>
            <w:noWrap/>
            <w:vAlign w:val="bottom"/>
            <w:hideMark/>
          </w:tcPr>
          <w:p w14:paraId="53E936B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(0.587)</w:t>
            </w:r>
          </w:p>
        </w:tc>
      </w:tr>
      <w:tr w:rsidR="009D5719" w:rsidRPr="009D5719" w14:paraId="708E9F4B" w14:textId="77777777" w:rsidTr="00C360B7">
        <w:trPr>
          <w:trHeight w:val="280"/>
        </w:trPr>
        <w:tc>
          <w:tcPr>
            <w:tcW w:w="0" w:type="auto"/>
            <w:tcBorders>
              <w:top w:val="nil"/>
              <w:left w:val="nil"/>
              <w:bottom w:val="nil"/>
              <w:right w:val="nil"/>
            </w:tcBorders>
            <w:shd w:val="clear" w:color="auto" w:fill="auto"/>
            <w:noWrap/>
            <w:vAlign w:val="bottom"/>
            <w:hideMark/>
          </w:tcPr>
          <w:p w14:paraId="4FC9A4E9" w14:textId="21456614" w:rsidR="009D5719" w:rsidRPr="009D5719" w:rsidRDefault="00C360B7" w:rsidP="009D5719">
            <w:pPr>
              <w:rPr>
                <w:rFonts w:ascii="Calibri" w:eastAsia="Times New Roman" w:hAnsi="Calibri" w:cs="Calibri"/>
                <w:sz w:val="20"/>
                <w:szCs w:val="20"/>
              </w:rPr>
            </w:pPr>
            <w:proofErr w:type="spellStart"/>
            <w:r>
              <w:rPr>
                <w:rFonts w:ascii="Calibri" w:eastAsia="Times New Roman" w:hAnsi="Calibri" w:cs="Calibri"/>
                <w:sz w:val="20"/>
                <w:szCs w:val="20"/>
              </w:rPr>
              <w:t>days_elasped</w:t>
            </w:r>
            <w:proofErr w:type="spellEnd"/>
            <w:r>
              <w:rPr>
                <w:rFonts w:ascii="Calibri" w:eastAsia="Times New Roman" w:hAnsi="Calibri" w:cs="Calibri"/>
                <w:sz w:val="20"/>
                <w:szCs w:val="20"/>
              </w:rPr>
              <w:t xml:space="preserve"> </w:t>
            </w:r>
          </w:p>
        </w:tc>
        <w:tc>
          <w:tcPr>
            <w:tcW w:w="0" w:type="auto"/>
            <w:tcBorders>
              <w:top w:val="nil"/>
              <w:left w:val="nil"/>
              <w:bottom w:val="nil"/>
              <w:right w:val="nil"/>
            </w:tcBorders>
            <w:shd w:val="clear" w:color="auto" w:fill="auto"/>
            <w:noWrap/>
            <w:vAlign w:val="bottom"/>
            <w:hideMark/>
          </w:tcPr>
          <w:p w14:paraId="05C8714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0.131*</w:t>
            </w:r>
          </w:p>
        </w:tc>
        <w:tc>
          <w:tcPr>
            <w:tcW w:w="0" w:type="auto"/>
            <w:tcBorders>
              <w:top w:val="nil"/>
              <w:left w:val="nil"/>
              <w:bottom w:val="nil"/>
              <w:right w:val="nil"/>
            </w:tcBorders>
            <w:shd w:val="clear" w:color="auto" w:fill="auto"/>
            <w:noWrap/>
            <w:vAlign w:val="bottom"/>
            <w:hideMark/>
          </w:tcPr>
          <w:p w14:paraId="75AED3E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-0.249*</w:t>
            </w:r>
          </w:p>
        </w:tc>
        <w:tc>
          <w:tcPr>
            <w:tcW w:w="0" w:type="auto"/>
            <w:tcBorders>
              <w:top w:val="nil"/>
              <w:left w:val="nil"/>
              <w:bottom w:val="nil"/>
              <w:right w:val="nil"/>
            </w:tcBorders>
            <w:shd w:val="clear" w:color="auto" w:fill="auto"/>
            <w:noWrap/>
            <w:vAlign w:val="bottom"/>
            <w:hideMark/>
          </w:tcPr>
          <w:p w14:paraId="4F047C0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-0.021</w:t>
            </w:r>
          </w:p>
        </w:tc>
        <w:tc>
          <w:tcPr>
            <w:tcW w:w="0" w:type="auto"/>
            <w:tcBorders>
              <w:top w:val="nil"/>
              <w:left w:val="nil"/>
              <w:bottom w:val="nil"/>
              <w:right w:val="nil"/>
            </w:tcBorders>
            <w:shd w:val="clear" w:color="auto" w:fill="auto"/>
            <w:noWrap/>
            <w:vAlign w:val="bottom"/>
            <w:hideMark/>
          </w:tcPr>
          <w:p w14:paraId="7A17892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-0.493***</w:t>
            </w:r>
          </w:p>
        </w:tc>
        <w:tc>
          <w:tcPr>
            <w:tcW w:w="0" w:type="auto"/>
            <w:tcBorders>
              <w:top w:val="nil"/>
              <w:left w:val="nil"/>
              <w:bottom w:val="nil"/>
              <w:right w:val="nil"/>
            </w:tcBorders>
            <w:shd w:val="clear" w:color="auto" w:fill="auto"/>
            <w:noWrap/>
            <w:vAlign w:val="bottom"/>
            <w:hideMark/>
          </w:tcPr>
          <w:p w14:paraId="73F4E71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-0.164</w:t>
            </w:r>
          </w:p>
        </w:tc>
        <w:tc>
          <w:tcPr>
            <w:tcW w:w="1451" w:type="dxa"/>
            <w:tcBorders>
              <w:top w:val="nil"/>
              <w:left w:val="nil"/>
              <w:bottom w:val="nil"/>
              <w:right w:val="nil"/>
            </w:tcBorders>
            <w:shd w:val="clear" w:color="auto" w:fill="auto"/>
            <w:noWrap/>
            <w:vAlign w:val="bottom"/>
            <w:hideMark/>
          </w:tcPr>
          <w:p w14:paraId="155171F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0.081</w:t>
            </w:r>
          </w:p>
        </w:tc>
      </w:tr>
      <w:tr w:rsidR="009D5719" w:rsidRPr="009D5719" w14:paraId="3169FACA" w14:textId="77777777" w:rsidTr="00C360B7">
        <w:trPr>
          <w:trHeight w:val="280"/>
        </w:trPr>
        <w:tc>
          <w:tcPr>
            <w:tcW w:w="0" w:type="auto"/>
            <w:tcBorders>
              <w:top w:val="nil"/>
              <w:left w:val="nil"/>
              <w:bottom w:val="nil"/>
              <w:right w:val="nil"/>
            </w:tcBorders>
            <w:shd w:val="clear" w:color="auto" w:fill="auto"/>
            <w:noWrap/>
            <w:vAlign w:val="bottom"/>
            <w:hideMark/>
          </w:tcPr>
          <w:p w14:paraId="2A81FCC7"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57CB33E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(0.071)</w:t>
            </w:r>
          </w:p>
        </w:tc>
        <w:tc>
          <w:tcPr>
            <w:tcW w:w="0" w:type="auto"/>
            <w:tcBorders>
              <w:top w:val="nil"/>
              <w:left w:val="nil"/>
              <w:bottom w:val="nil"/>
              <w:right w:val="nil"/>
            </w:tcBorders>
            <w:shd w:val="clear" w:color="auto" w:fill="auto"/>
            <w:noWrap/>
            <w:vAlign w:val="bottom"/>
            <w:hideMark/>
          </w:tcPr>
          <w:p w14:paraId="2994494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(0.147)</w:t>
            </w:r>
          </w:p>
        </w:tc>
        <w:tc>
          <w:tcPr>
            <w:tcW w:w="0" w:type="auto"/>
            <w:tcBorders>
              <w:top w:val="nil"/>
              <w:left w:val="nil"/>
              <w:bottom w:val="nil"/>
              <w:right w:val="nil"/>
            </w:tcBorders>
            <w:shd w:val="clear" w:color="auto" w:fill="auto"/>
            <w:noWrap/>
            <w:vAlign w:val="bottom"/>
            <w:hideMark/>
          </w:tcPr>
          <w:p w14:paraId="38CB8FB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(0.131)</w:t>
            </w:r>
          </w:p>
        </w:tc>
        <w:tc>
          <w:tcPr>
            <w:tcW w:w="0" w:type="auto"/>
            <w:tcBorders>
              <w:top w:val="nil"/>
              <w:left w:val="nil"/>
              <w:bottom w:val="nil"/>
              <w:right w:val="nil"/>
            </w:tcBorders>
            <w:shd w:val="clear" w:color="auto" w:fill="auto"/>
            <w:noWrap/>
            <w:vAlign w:val="bottom"/>
            <w:hideMark/>
          </w:tcPr>
          <w:p w14:paraId="745458E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(0.106)</w:t>
            </w:r>
          </w:p>
        </w:tc>
        <w:tc>
          <w:tcPr>
            <w:tcW w:w="0" w:type="auto"/>
            <w:tcBorders>
              <w:top w:val="nil"/>
              <w:left w:val="nil"/>
              <w:bottom w:val="nil"/>
              <w:right w:val="nil"/>
            </w:tcBorders>
            <w:shd w:val="clear" w:color="auto" w:fill="auto"/>
            <w:noWrap/>
            <w:vAlign w:val="bottom"/>
            <w:hideMark/>
          </w:tcPr>
          <w:p w14:paraId="62E3B3C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(0.147)</w:t>
            </w:r>
          </w:p>
        </w:tc>
        <w:tc>
          <w:tcPr>
            <w:tcW w:w="1451" w:type="dxa"/>
            <w:tcBorders>
              <w:top w:val="nil"/>
              <w:left w:val="nil"/>
              <w:bottom w:val="nil"/>
              <w:right w:val="nil"/>
            </w:tcBorders>
            <w:shd w:val="clear" w:color="auto" w:fill="auto"/>
            <w:noWrap/>
            <w:vAlign w:val="bottom"/>
            <w:hideMark/>
          </w:tcPr>
          <w:p w14:paraId="547541C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(0.744)</w:t>
            </w:r>
          </w:p>
        </w:tc>
      </w:tr>
      <w:tr w:rsidR="009D5719" w:rsidRPr="009D5719" w14:paraId="1019ED09" w14:textId="77777777" w:rsidTr="00C360B7">
        <w:trPr>
          <w:trHeight w:val="280"/>
        </w:trPr>
        <w:tc>
          <w:tcPr>
            <w:tcW w:w="0" w:type="auto"/>
            <w:tcBorders>
              <w:top w:val="nil"/>
              <w:left w:val="nil"/>
              <w:bottom w:val="nil"/>
              <w:right w:val="nil"/>
            </w:tcBorders>
            <w:shd w:val="clear" w:color="auto" w:fill="auto"/>
            <w:noWrap/>
            <w:vAlign w:val="bottom"/>
            <w:hideMark/>
          </w:tcPr>
          <w:p w14:paraId="49C6DC64" w14:textId="28175A3B" w:rsidR="009D5719" w:rsidRPr="009D5719" w:rsidRDefault="00C360B7" w:rsidP="009D5719">
            <w:pPr>
              <w:rPr>
                <w:rFonts w:ascii="Calibri" w:eastAsia="Times New Roman" w:hAnsi="Calibri" w:cs="Calibri"/>
                <w:sz w:val="20"/>
                <w:szCs w:val="20"/>
              </w:rPr>
            </w:pPr>
            <w:proofErr w:type="spellStart"/>
            <w:r>
              <w:rPr>
                <w:rFonts w:ascii="Calibri" w:eastAsia="Times New Roman" w:hAnsi="Calibri" w:cs="Calibri"/>
                <w:sz w:val="20"/>
                <w:szCs w:val="20"/>
              </w:rPr>
              <w:t>days_elapsed_sq</w:t>
            </w:r>
            <w:proofErr w:type="spellEnd"/>
          </w:p>
        </w:tc>
        <w:tc>
          <w:tcPr>
            <w:tcW w:w="0" w:type="auto"/>
            <w:tcBorders>
              <w:top w:val="nil"/>
              <w:left w:val="nil"/>
              <w:bottom w:val="nil"/>
              <w:right w:val="nil"/>
            </w:tcBorders>
            <w:shd w:val="clear" w:color="auto" w:fill="auto"/>
            <w:noWrap/>
            <w:vAlign w:val="bottom"/>
            <w:hideMark/>
          </w:tcPr>
          <w:p w14:paraId="6D01CD5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792F0A0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1CA0616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4FC62C9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0.002***</w:t>
            </w:r>
          </w:p>
        </w:tc>
        <w:tc>
          <w:tcPr>
            <w:tcW w:w="0" w:type="auto"/>
            <w:tcBorders>
              <w:top w:val="nil"/>
              <w:left w:val="nil"/>
              <w:bottom w:val="nil"/>
              <w:right w:val="nil"/>
            </w:tcBorders>
            <w:shd w:val="clear" w:color="auto" w:fill="auto"/>
            <w:noWrap/>
            <w:vAlign w:val="bottom"/>
            <w:hideMark/>
          </w:tcPr>
          <w:p w14:paraId="00A9C48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1451" w:type="dxa"/>
            <w:tcBorders>
              <w:top w:val="nil"/>
              <w:left w:val="nil"/>
              <w:bottom w:val="nil"/>
              <w:right w:val="nil"/>
            </w:tcBorders>
            <w:shd w:val="clear" w:color="auto" w:fill="auto"/>
            <w:noWrap/>
            <w:vAlign w:val="bottom"/>
            <w:hideMark/>
          </w:tcPr>
          <w:p w14:paraId="0BE5F5F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0.009</w:t>
            </w:r>
          </w:p>
        </w:tc>
      </w:tr>
      <w:tr w:rsidR="009D5719" w:rsidRPr="009D5719" w14:paraId="6C9C1B56" w14:textId="77777777" w:rsidTr="00C360B7">
        <w:trPr>
          <w:trHeight w:val="280"/>
        </w:trPr>
        <w:tc>
          <w:tcPr>
            <w:tcW w:w="0" w:type="auto"/>
            <w:tcBorders>
              <w:top w:val="nil"/>
              <w:left w:val="nil"/>
              <w:bottom w:val="nil"/>
              <w:right w:val="nil"/>
            </w:tcBorders>
            <w:shd w:val="clear" w:color="auto" w:fill="auto"/>
            <w:noWrap/>
            <w:vAlign w:val="bottom"/>
            <w:hideMark/>
          </w:tcPr>
          <w:p w14:paraId="4DA72B41"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2133288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42A799C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32C2C74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7564994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2F5A385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1451" w:type="dxa"/>
            <w:tcBorders>
              <w:top w:val="nil"/>
              <w:left w:val="nil"/>
              <w:bottom w:val="nil"/>
              <w:right w:val="nil"/>
            </w:tcBorders>
            <w:shd w:val="clear" w:color="auto" w:fill="auto"/>
            <w:noWrap/>
            <w:vAlign w:val="bottom"/>
            <w:hideMark/>
          </w:tcPr>
          <w:p w14:paraId="3330A7A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(0.006)</w:t>
            </w:r>
          </w:p>
        </w:tc>
      </w:tr>
      <w:tr w:rsidR="009D5719" w:rsidRPr="009D5719" w14:paraId="143F29FD" w14:textId="77777777" w:rsidTr="00C360B7">
        <w:trPr>
          <w:trHeight w:val="280"/>
        </w:trPr>
        <w:tc>
          <w:tcPr>
            <w:tcW w:w="0" w:type="auto"/>
            <w:tcBorders>
              <w:top w:val="nil"/>
              <w:left w:val="nil"/>
              <w:bottom w:val="nil"/>
              <w:right w:val="nil"/>
            </w:tcBorders>
            <w:shd w:val="clear" w:color="auto" w:fill="auto"/>
            <w:noWrap/>
            <w:vAlign w:val="bottom"/>
            <w:hideMark/>
          </w:tcPr>
          <w:p w14:paraId="3BD1AD80" w14:textId="77777777" w:rsidR="009D5719" w:rsidRPr="009D5719" w:rsidRDefault="009D5719" w:rsidP="009D5719">
            <w:pPr>
              <w:rPr>
                <w:rFonts w:ascii="Calibri" w:eastAsia="Times New Roman" w:hAnsi="Calibri" w:cs="Calibri"/>
                <w:sz w:val="20"/>
                <w:szCs w:val="20"/>
              </w:rPr>
            </w:pPr>
            <w:proofErr w:type="spellStart"/>
            <w:r w:rsidRPr="009D5719">
              <w:rPr>
                <w:rFonts w:ascii="Calibri" w:eastAsia="Times New Roman" w:hAnsi="Calibri" w:cs="Calibri"/>
                <w:sz w:val="20"/>
                <w:szCs w:val="20"/>
              </w:rPr>
              <w:t>policy_stringency</w:t>
            </w:r>
            <w:proofErr w:type="spellEnd"/>
          </w:p>
        </w:tc>
        <w:tc>
          <w:tcPr>
            <w:tcW w:w="0" w:type="auto"/>
            <w:tcBorders>
              <w:top w:val="nil"/>
              <w:left w:val="nil"/>
              <w:bottom w:val="nil"/>
              <w:right w:val="nil"/>
            </w:tcBorders>
            <w:shd w:val="clear" w:color="auto" w:fill="auto"/>
            <w:noWrap/>
            <w:vAlign w:val="bottom"/>
            <w:hideMark/>
          </w:tcPr>
          <w:p w14:paraId="75F9D9B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0.374***</w:t>
            </w:r>
          </w:p>
        </w:tc>
        <w:tc>
          <w:tcPr>
            <w:tcW w:w="0" w:type="auto"/>
            <w:tcBorders>
              <w:top w:val="nil"/>
              <w:left w:val="nil"/>
              <w:bottom w:val="nil"/>
              <w:right w:val="nil"/>
            </w:tcBorders>
            <w:shd w:val="clear" w:color="auto" w:fill="auto"/>
            <w:noWrap/>
            <w:vAlign w:val="bottom"/>
            <w:hideMark/>
          </w:tcPr>
          <w:p w14:paraId="0D21657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-1.131***</w:t>
            </w:r>
          </w:p>
        </w:tc>
        <w:tc>
          <w:tcPr>
            <w:tcW w:w="0" w:type="auto"/>
            <w:tcBorders>
              <w:top w:val="nil"/>
              <w:left w:val="nil"/>
              <w:bottom w:val="nil"/>
              <w:right w:val="nil"/>
            </w:tcBorders>
            <w:shd w:val="clear" w:color="auto" w:fill="auto"/>
            <w:noWrap/>
            <w:vAlign w:val="bottom"/>
            <w:hideMark/>
          </w:tcPr>
          <w:p w14:paraId="553E845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-0.700***</w:t>
            </w:r>
          </w:p>
        </w:tc>
        <w:tc>
          <w:tcPr>
            <w:tcW w:w="0" w:type="auto"/>
            <w:tcBorders>
              <w:top w:val="nil"/>
              <w:left w:val="nil"/>
              <w:bottom w:val="nil"/>
              <w:right w:val="nil"/>
            </w:tcBorders>
            <w:shd w:val="clear" w:color="auto" w:fill="auto"/>
            <w:noWrap/>
            <w:vAlign w:val="bottom"/>
            <w:hideMark/>
          </w:tcPr>
          <w:p w14:paraId="5A67A59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-1.099***</w:t>
            </w:r>
          </w:p>
        </w:tc>
        <w:tc>
          <w:tcPr>
            <w:tcW w:w="0" w:type="auto"/>
            <w:tcBorders>
              <w:top w:val="nil"/>
              <w:left w:val="nil"/>
              <w:bottom w:val="nil"/>
              <w:right w:val="nil"/>
            </w:tcBorders>
            <w:shd w:val="clear" w:color="auto" w:fill="auto"/>
            <w:noWrap/>
            <w:vAlign w:val="bottom"/>
            <w:hideMark/>
          </w:tcPr>
          <w:p w14:paraId="5549781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-0.944***</w:t>
            </w:r>
          </w:p>
        </w:tc>
        <w:tc>
          <w:tcPr>
            <w:tcW w:w="1451" w:type="dxa"/>
            <w:tcBorders>
              <w:top w:val="nil"/>
              <w:left w:val="nil"/>
              <w:bottom w:val="nil"/>
              <w:right w:val="nil"/>
            </w:tcBorders>
            <w:shd w:val="clear" w:color="auto" w:fill="auto"/>
            <w:noWrap/>
            <w:vAlign w:val="bottom"/>
            <w:hideMark/>
          </w:tcPr>
          <w:p w14:paraId="7E90CE1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-0.424</w:t>
            </w:r>
          </w:p>
        </w:tc>
      </w:tr>
      <w:tr w:rsidR="009D5719" w:rsidRPr="009D5719" w14:paraId="10C87DC5" w14:textId="77777777" w:rsidTr="00C360B7">
        <w:trPr>
          <w:trHeight w:val="280"/>
        </w:trPr>
        <w:tc>
          <w:tcPr>
            <w:tcW w:w="0" w:type="auto"/>
            <w:tcBorders>
              <w:top w:val="nil"/>
              <w:left w:val="nil"/>
              <w:bottom w:val="nil"/>
              <w:right w:val="nil"/>
            </w:tcBorders>
            <w:shd w:val="clear" w:color="auto" w:fill="auto"/>
            <w:noWrap/>
            <w:vAlign w:val="bottom"/>
            <w:hideMark/>
          </w:tcPr>
          <w:p w14:paraId="563A9C76"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219134A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(0.022)</w:t>
            </w:r>
          </w:p>
        </w:tc>
        <w:tc>
          <w:tcPr>
            <w:tcW w:w="0" w:type="auto"/>
            <w:tcBorders>
              <w:top w:val="nil"/>
              <w:left w:val="nil"/>
              <w:bottom w:val="nil"/>
              <w:right w:val="nil"/>
            </w:tcBorders>
            <w:shd w:val="clear" w:color="auto" w:fill="auto"/>
            <w:noWrap/>
            <w:vAlign w:val="bottom"/>
            <w:hideMark/>
          </w:tcPr>
          <w:p w14:paraId="5A9CF58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(0.075)</w:t>
            </w:r>
          </w:p>
        </w:tc>
        <w:tc>
          <w:tcPr>
            <w:tcW w:w="0" w:type="auto"/>
            <w:tcBorders>
              <w:top w:val="nil"/>
              <w:left w:val="nil"/>
              <w:bottom w:val="nil"/>
              <w:right w:val="nil"/>
            </w:tcBorders>
            <w:shd w:val="clear" w:color="auto" w:fill="auto"/>
            <w:noWrap/>
            <w:vAlign w:val="bottom"/>
            <w:hideMark/>
          </w:tcPr>
          <w:p w14:paraId="5285261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(0.069)</w:t>
            </w:r>
          </w:p>
        </w:tc>
        <w:tc>
          <w:tcPr>
            <w:tcW w:w="0" w:type="auto"/>
            <w:tcBorders>
              <w:top w:val="nil"/>
              <w:left w:val="nil"/>
              <w:bottom w:val="nil"/>
              <w:right w:val="nil"/>
            </w:tcBorders>
            <w:shd w:val="clear" w:color="auto" w:fill="auto"/>
            <w:noWrap/>
            <w:vAlign w:val="bottom"/>
            <w:hideMark/>
          </w:tcPr>
          <w:p w14:paraId="59135AE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(0.059)</w:t>
            </w:r>
          </w:p>
        </w:tc>
        <w:tc>
          <w:tcPr>
            <w:tcW w:w="0" w:type="auto"/>
            <w:tcBorders>
              <w:top w:val="nil"/>
              <w:left w:val="nil"/>
              <w:bottom w:val="nil"/>
              <w:right w:val="nil"/>
            </w:tcBorders>
            <w:shd w:val="clear" w:color="auto" w:fill="auto"/>
            <w:noWrap/>
            <w:vAlign w:val="bottom"/>
            <w:hideMark/>
          </w:tcPr>
          <w:p w14:paraId="5694521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(0.046)</w:t>
            </w:r>
          </w:p>
        </w:tc>
        <w:tc>
          <w:tcPr>
            <w:tcW w:w="1451" w:type="dxa"/>
            <w:tcBorders>
              <w:top w:val="nil"/>
              <w:left w:val="nil"/>
              <w:bottom w:val="nil"/>
              <w:right w:val="nil"/>
            </w:tcBorders>
            <w:shd w:val="clear" w:color="auto" w:fill="auto"/>
            <w:noWrap/>
            <w:vAlign w:val="bottom"/>
            <w:hideMark/>
          </w:tcPr>
          <w:p w14:paraId="131E69A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(0.265)</w:t>
            </w:r>
          </w:p>
        </w:tc>
      </w:tr>
      <w:tr w:rsidR="009D5719" w:rsidRPr="009D5719" w14:paraId="262D9467" w14:textId="77777777" w:rsidTr="00C360B7">
        <w:trPr>
          <w:trHeight w:val="280"/>
        </w:trPr>
        <w:tc>
          <w:tcPr>
            <w:tcW w:w="0" w:type="auto"/>
            <w:tcBorders>
              <w:top w:val="nil"/>
              <w:left w:val="nil"/>
              <w:bottom w:val="nil"/>
              <w:right w:val="nil"/>
            </w:tcBorders>
            <w:shd w:val="clear" w:color="auto" w:fill="auto"/>
            <w:noWrap/>
            <w:vAlign w:val="bottom"/>
            <w:hideMark/>
          </w:tcPr>
          <w:p w14:paraId="7D99A408" w14:textId="41880120" w:rsidR="00C360B7" w:rsidRDefault="009D5719" w:rsidP="009D5719">
            <w:pPr>
              <w:rPr>
                <w:rFonts w:ascii="Calibri" w:eastAsia="Times New Roman" w:hAnsi="Calibri" w:cs="Calibri"/>
                <w:sz w:val="20"/>
                <w:szCs w:val="20"/>
              </w:rPr>
            </w:pPr>
            <w:proofErr w:type="spellStart"/>
            <w:r w:rsidRPr="009D5719">
              <w:rPr>
                <w:rFonts w:ascii="Calibri" w:eastAsia="Times New Roman" w:hAnsi="Calibri" w:cs="Calibri"/>
                <w:sz w:val="20"/>
                <w:szCs w:val="20"/>
              </w:rPr>
              <w:t>policy_stringency</w:t>
            </w:r>
            <w:proofErr w:type="spellEnd"/>
            <w:r w:rsidR="00C360B7">
              <w:rPr>
                <w:rFonts w:ascii="Calibri" w:eastAsia="Times New Roman" w:hAnsi="Calibri" w:cs="Calibri"/>
                <w:sz w:val="20"/>
                <w:szCs w:val="20"/>
              </w:rPr>
              <w:t xml:space="preserve"> *</w:t>
            </w:r>
          </w:p>
          <w:p w14:paraId="768DAE54" w14:textId="6EBDACC3" w:rsidR="009D5719" w:rsidRPr="009D5719" w:rsidRDefault="00C360B7" w:rsidP="009D5719">
            <w:pPr>
              <w:rPr>
                <w:rFonts w:ascii="Calibri" w:eastAsia="Times New Roman" w:hAnsi="Calibri" w:cs="Calibri"/>
                <w:sz w:val="20"/>
                <w:szCs w:val="20"/>
              </w:rPr>
            </w:pPr>
            <w:proofErr w:type="spellStart"/>
            <w:r>
              <w:rPr>
                <w:rFonts w:ascii="Calibri" w:eastAsia="Times New Roman" w:hAnsi="Calibri" w:cs="Calibri"/>
                <w:sz w:val="20"/>
                <w:szCs w:val="20"/>
              </w:rPr>
              <w:t>days_elapsed</w:t>
            </w:r>
            <w:proofErr w:type="spellEnd"/>
          </w:p>
        </w:tc>
        <w:tc>
          <w:tcPr>
            <w:tcW w:w="0" w:type="auto"/>
            <w:tcBorders>
              <w:top w:val="nil"/>
              <w:left w:val="nil"/>
              <w:bottom w:val="nil"/>
              <w:right w:val="nil"/>
            </w:tcBorders>
            <w:shd w:val="clear" w:color="auto" w:fill="auto"/>
            <w:noWrap/>
            <w:vAlign w:val="bottom"/>
            <w:hideMark/>
          </w:tcPr>
          <w:p w14:paraId="3465BC7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-0.003***</w:t>
            </w:r>
          </w:p>
        </w:tc>
        <w:tc>
          <w:tcPr>
            <w:tcW w:w="0" w:type="auto"/>
            <w:tcBorders>
              <w:top w:val="nil"/>
              <w:left w:val="nil"/>
              <w:bottom w:val="nil"/>
              <w:right w:val="nil"/>
            </w:tcBorders>
            <w:shd w:val="clear" w:color="auto" w:fill="auto"/>
            <w:noWrap/>
            <w:vAlign w:val="bottom"/>
            <w:hideMark/>
          </w:tcPr>
          <w:p w14:paraId="3DFBBCB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0.007**</w:t>
            </w:r>
          </w:p>
        </w:tc>
        <w:tc>
          <w:tcPr>
            <w:tcW w:w="0" w:type="auto"/>
            <w:tcBorders>
              <w:top w:val="nil"/>
              <w:left w:val="nil"/>
              <w:bottom w:val="nil"/>
              <w:right w:val="nil"/>
            </w:tcBorders>
            <w:shd w:val="clear" w:color="auto" w:fill="auto"/>
            <w:noWrap/>
            <w:vAlign w:val="bottom"/>
            <w:hideMark/>
          </w:tcPr>
          <w:p w14:paraId="7D841EC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0.003</w:t>
            </w:r>
          </w:p>
        </w:tc>
        <w:tc>
          <w:tcPr>
            <w:tcW w:w="0" w:type="auto"/>
            <w:tcBorders>
              <w:top w:val="nil"/>
              <w:left w:val="nil"/>
              <w:bottom w:val="nil"/>
              <w:right w:val="nil"/>
            </w:tcBorders>
            <w:shd w:val="clear" w:color="auto" w:fill="auto"/>
            <w:noWrap/>
            <w:vAlign w:val="bottom"/>
            <w:hideMark/>
          </w:tcPr>
          <w:p w14:paraId="509ED2F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0.011***</w:t>
            </w:r>
          </w:p>
        </w:tc>
        <w:tc>
          <w:tcPr>
            <w:tcW w:w="0" w:type="auto"/>
            <w:tcBorders>
              <w:top w:val="nil"/>
              <w:left w:val="nil"/>
              <w:bottom w:val="nil"/>
              <w:right w:val="nil"/>
            </w:tcBorders>
            <w:shd w:val="clear" w:color="auto" w:fill="auto"/>
            <w:noWrap/>
            <w:vAlign w:val="bottom"/>
            <w:hideMark/>
          </w:tcPr>
          <w:p w14:paraId="78108A5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0.006**</w:t>
            </w:r>
          </w:p>
        </w:tc>
        <w:tc>
          <w:tcPr>
            <w:tcW w:w="1451" w:type="dxa"/>
            <w:tcBorders>
              <w:top w:val="nil"/>
              <w:left w:val="nil"/>
              <w:bottom w:val="nil"/>
              <w:right w:val="nil"/>
            </w:tcBorders>
            <w:shd w:val="clear" w:color="auto" w:fill="auto"/>
            <w:noWrap/>
            <w:vAlign w:val="bottom"/>
            <w:hideMark/>
          </w:tcPr>
          <w:p w14:paraId="2D97734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r>
      <w:tr w:rsidR="009D5719" w:rsidRPr="009D5719" w14:paraId="1FDF59D1" w14:textId="77777777" w:rsidTr="00C360B7">
        <w:trPr>
          <w:trHeight w:val="280"/>
        </w:trPr>
        <w:tc>
          <w:tcPr>
            <w:tcW w:w="0" w:type="auto"/>
            <w:tcBorders>
              <w:top w:val="nil"/>
              <w:left w:val="nil"/>
              <w:bottom w:val="nil"/>
              <w:right w:val="nil"/>
            </w:tcBorders>
            <w:shd w:val="clear" w:color="auto" w:fill="auto"/>
            <w:noWrap/>
            <w:vAlign w:val="bottom"/>
            <w:hideMark/>
          </w:tcPr>
          <w:p w14:paraId="3DA2FCB3"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30C52B3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171845D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(0.002)</w:t>
            </w:r>
          </w:p>
        </w:tc>
        <w:tc>
          <w:tcPr>
            <w:tcW w:w="0" w:type="auto"/>
            <w:tcBorders>
              <w:top w:val="nil"/>
              <w:left w:val="nil"/>
              <w:bottom w:val="nil"/>
              <w:right w:val="nil"/>
            </w:tcBorders>
            <w:shd w:val="clear" w:color="auto" w:fill="auto"/>
            <w:noWrap/>
            <w:vAlign w:val="bottom"/>
            <w:hideMark/>
          </w:tcPr>
          <w:p w14:paraId="193CD11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(0.003)</w:t>
            </w:r>
          </w:p>
        </w:tc>
        <w:tc>
          <w:tcPr>
            <w:tcW w:w="0" w:type="auto"/>
            <w:tcBorders>
              <w:top w:val="nil"/>
              <w:left w:val="nil"/>
              <w:bottom w:val="nil"/>
              <w:right w:val="nil"/>
            </w:tcBorders>
            <w:shd w:val="clear" w:color="auto" w:fill="auto"/>
            <w:noWrap/>
            <w:vAlign w:val="bottom"/>
            <w:hideMark/>
          </w:tcPr>
          <w:p w14:paraId="4D2DC30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(0.002)</w:t>
            </w:r>
          </w:p>
        </w:tc>
        <w:tc>
          <w:tcPr>
            <w:tcW w:w="0" w:type="auto"/>
            <w:tcBorders>
              <w:top w:val="nil"/>
              <w:left w:val="nil"/>
              <w:bottom w:val="nil"/>
              <w:right w:val="nil"/>
            </w:tcBorders>
            <w:shd w:val="clear" w:color="auto" w:fill="auto"/>
            <w:noWrap/>
            <w:vAlign w:val="bottom"/>
            <w:hideMark/>
          </w:tcPr>
          <w:p w14:paraId="6F9FF0C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(0.002)</w:t>
            </w:r>
          </w:p>
        </w:tc>
        <w:tc>
          <w:tcPr>
            <w:tcW w:w="1451" w:type="dxa"/>
            <w:tcBorders>
              <w:top w:val="nil"/>
              <w:left w:val="nil"/>
              <w:bottom w:val="nil"/>
              <w:right w:val="nil"/>
            </w:tcBorders>
            <w:shd w:val="clear" w:color="auto" w:fill="auto"/>
            <w:noWrap/>
            <w:vAlign w:val="bottom"/>
            <w:hideMark/>
          </w:tcPr>
          <w:p w14:paraId="65E5118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(0.011)</w:t>
            </w:r>
          </w:p>
        </w:tc>
      </w:tr>
      <w:tr w:rsidR="009D5719" w:rsidRPr="009D5719" w14:paraId="51B4803F" w14:textId="77777777" w:rsidTr="00C360B7">
        <w:trPr>
          <w:trHeight w:val="280"/>
        </w:trPr>
        <w:tc>
          <w:tcPr>
            <w:tcW w:w="0" w:type="auto"/>
            <w:tcBorders>
              <w:top w:val="nil"/>
              <w:left w:val="nil"/>
              <w:bottom w:val="nil"/>
              <w:right w:val="nil"/>
            </w:tcBorders>
            <w:shd w:val="clear" w:color="auto" w:fill="auto"/>
            <w:noWrap/>
            <w:vAlign w:val="bottom"/>
            <w:hideMark/>
          </w:tcPr>
          <w:p w14:paraId="424867AA" w14:textId="19A01054" w:rsidR="00C360B7" w:rsidRDefault="00C360B7" w:rsidP="009D5719">
            <w:pPr>
              <w:rPr>
                <w:rFonts w:ascii="Calibri" w:eastAsia="Times New Roman" w:hAnsi="Calibri" w:cs="Calibri"/>
                <w:sz w:val="20"/>
                <w:szCs w:val="20"/>
              </w:rPr>
            </w:pPr>
            <w:proofErr w:type="spellStart"/>
            <w:r>
              <w:rPr>
                <w:rFonts w:ascii="Calibri" w:eastAsia="Times New Roman" w:hAnsi="Calibri" w:cs="Calibri"/>
                <w:sz w:val="20"/>
                <w:szCs w:val="20"/>
              </w:rPr>
              <w:t>policy_stringency</w:t>
            </w:r>
            <w:proofErr w:type="spellEnd"/>
            <w:r>
              <w:rPr>
                <w:rFonts w:ascii="Calibri" w:eastAsia="Times New Roman" w:hAnsi="Calibri" w:cs="Calibri"/>
                <w:sz w:val="20"/>
                <w:szCs w:val="20"/>
              </w:rPr>
              <w:t xml:space="preserve"> *</w:t>
            </w:r>
          </w:p>
          <w:p w14:paraId="5685699C" w14:textId="4CBE7983" w:rsidR="009D5719" w:rsidRPr="009D5719" w:rsidRDefault="00C360B7" w:rsidP="009D5719">
            <w:pPr>
              <w:rPr>
                <w:rFonts w:ascii="Calibri" w:eastAsia="Times New Roman" w:hAnsi="Calibri" w:cs="Calibri"/>
                <w:sz w:val="20"/>
                <w:szCs w:val="20"/>
              </w:rPr>
            </w:pPr>
            <w:proofErr w:type="spellStart"/>
            <w:r>
              <w:rPr>
                <w:rFonts w:ascii="Calibri" w:eastAsia="Times New Roman" w:hAnsi="Calibri" w:cs="Calibri"/>
                <w:sz w:val="20"/>
                <w:szCs w:val="20"/>
              </w:rPr>
              <w:t>days_elapsed_sq</w:t>
            </w:r>
            <w:proofErr w:type="spellEnd"/>
          </w:p>
        </w:tc>
        <w:tc>
          <w:tcPr>
            <w:tcW w:w="0" w:type="auto"/>
            <w:tcBorders>
              <w:top w:val="nil"/>
              <w:left w:val="nil"/>
              <w:bottom w:val="nil"/>
              <w:right w:val="nil"/>
            </w:tcBorders>
            <w:shd w:val="clear" w:color="auto" w:fill="auto"/>
            <w:noWrap/>
            <w:vAlign w:val="bottom"/>
            <w:hideMark/>
          </w:tcPr>
          <w:p w14:paraId="573178D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1FF58A8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29D110C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547D55B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674D585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1451" w:type="dxa"/>
            <w:tcBorders>
              <w:top w:val="nil"/>
              <w:left w:val="nil"/>
              <w:bottom w:val="nil"/>
              <w:right w:val="nil"/>
            </w:tcBorders>
            <w:shd w:val="clear" w:color="auto" w:fill="auto"/>
            <w:noWrap/>
            <w:vAlign w:val="bottom"/>
            <w:hideMark/>
          </w:tcPr>
          <w:p w14:paraId="1D43EBA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r>
      <w:tr w:rsidR="009D5719" w:rsidRPr="009D5719" w14:paraId="71B5F681" w14:textId="77777777" w:rsidTr="00C360B7">
        <w:trPr>
          <w:trHeight w:val="280"/>
        </w:trPr>
        <w:tc>
          <w:tcPr>
            <w:tcW w:w="0" w:type="auto"/>
            <w:tcBorders>
              <w:top w:val="nil"/>
              <w:left w:val="nil"/>
              <w:bottom w:val="nil"/>
              <w:right w:val="nil"/>
            </w:tcBorders>
            <w:shd w:val="clear" w:color="auto" w:fill="auto"/>
            <w:noWrap/>
            <w:vAlign w:val="bottom"/>
            <w:hideMark/>
          </w:tcPr>
          <w:p w14:paraId="14A8C02A"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28E0C57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5204B85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1A2054A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655C078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1699616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c>
          <w:tcPr>
            <w:tcW w:w="1451" w:type="dxa"/>
            <w:tcBorders>
              <w:top w:val="nil"/>
              <w:left w:val="nil"/>
              <w:bottom w:val="nil"/>
              <w:right w:val="nil"/>
            </w:tcBorders>
            <w:shd w:val="clear" w:color="auto" w:fill="auto"/>
            <w:noWrap/>
            <w:vAlign w:val="bottom"/>
            <w:hideMark/>
          </w:tcPr>
          <w:p w14:paraId="153A1EA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(0.000)</w:t>
            </w:r>
          </w:p>
        </w:tc>
      </w:tr>
      <w:tr w:rsidR="009D5719" w:rsidRPr="009D5719" w14:paraId="79E1309F" w14:textId="77777777" w:rsidTr="00C360B7">
        <w:trPr>
          <w:trHeight w:val="280"/>
        </w:trPr>
        <w:tc>
          <w:tcPr>
            <w:tcW w:w="0" w:type="auto"/>
            <w:tcBorders>
              <w:top w:val="nil"/>
              <w:left w:val="nil"/>
              <w:bottom w:val="nil"/>
              <w:right w:val="nil"/>
            </w:tcBorders>
            <w:shd w:val="clear" w:color="auto" w:fill="auto"/>
            <w:noWrap/>
            <w:vAlign w:val="bottom"/>
            <w:hideMark/>
          </w:tcPr>
          <w:p w14:paraId="6CBEA1E8"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3.month</w:t>
            </w:r>
          </w:p>
        </w:tc>
        <w:tc>
          <w:tcPr>
            <w:tcW w:w="0" w:type="auto"/>
            <w:tcBorders>
              <w:top w:val="nil"/>
              <w:left w:val="nil"/>
              <w:bottom w:val="nil"/>
              <w:right w:val="nil"/>
            </w:tcBorders>
            <w:shd w:val="clear" w:color="auto" w:fill="auto"/>
            <w:noWrap/>
            <w:vAlign w:val="bottom"/>
            <w:hideMark/>
          </w:tcPr>
          <w:p w14:paraId="6856229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16.909***</w:t>
            </w:r>
          </w:p>
        </w:tc>
        <w:tc>
          <w:tcPr>
            <w:tcW w:w="0" w:type="auto"/>
            <w:tcBorders>
              <w:top w:val="nil"/>
              <w:left w:val="nil"/>
              <w:bottom w:val="nil"/>
              <w:right w:val="nil"/>
            </w:tcBorders>
            <w:shd w:val="clear" w:color="auto" w:fill="auto"/>
            <w:noWrap/>
            <w:vAlign w:val="bottom"/>
            <w:hideMark/>
          </w:tcPr>
          <w:p w14:paraId="4B7AB91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-57.538***</w:t>
            </w:r>
          </w:p>
        </w:tc>
        <w:tc>
          <w:tcPr>
            <w:tcW w:w="0" w:type="auto"/>
            <w:tcBorders>
              <w:top w:val="nil"/>
              <w:left w:val="nil"/>
              <w:bottom w:val="nil"/>
              <w:right w:val="nil"/>
            </w:tcBorders>
            <w:shd w:val="clear" w:color="auto" w:fill="auto"/>
            <w:noWrap/>
            <w:vAlign w:val="bottom"/>
            <w:hideMark/>
          </w:tcPr>
          <w:p w14:paraId="3E1AF82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-35.276***</w:t>
            </w:r>
          </w:p>
        </w:tc>
        <w:tc>
          <w:tcPr>
            <w:tcW w:w="0" w:type="auto"/>
            <w:tcBorders>
              <w:top w:val="nil"/>
              <w:left w:val="nil"/>
              <w:bottom w:val="nil"/>
              <w:right w:val="nil"/>
            </w:tcBorders>
            <w:shd w:val="clear" w:color="auto" w:fill="auto"/>
            <w:noWrap/>
            <w:vAlign w:val="bottom"/>
            <w:hideMark/>
          </w:tcPr>
          <w:p w14:paraId="2BAEB96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-45.939***</w:t>
            </w:r>
          </w:p>
        </w:tc>
        <w:tc>
          <w:tcPr>
            <w:tcW w:w="0" w:type="auto"/>
            <w:tcBorders>
              <w:top w:val="nil"/>
              <w:left w:val="nil"/>
              <w:bottom w:val="nil"/>
              <w:right w:val="nil"/>
            </w:tcBorders>
            <w:shd w:val="clear" w:color="auto" w:fill="auto"/>
            <w:noWrap/>
            <w:vAlign w:val="bottom"/>
            <w:hideMark/>
          </w:tcPr>
          <w:p w14:paraId="690A5D1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-36.353***</w:t>
            </w:r>
          </w:p>
        </w:tc>
        <w:tc>
          <w:tcPr>
            <w:tcW w:w="1451" w:type="dxa"/>
            <w:tcBorders>
              <w:top w:val="nil"/>
              <w:left w:val="nil"/>
              <w:bottom w:val="nil"/>
              <w:right w:val="nil"/>
            </w:tcBorders>
            <w:shd w:val="clear" w:color="auto" w:fill="auto"/>
            <w:noWrap/>
            <w:vAlign w:val="bottom"/>
            <w:hideMark/>
          </w:tcPr>
          <w:p w14:paraId="4DA2CEB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-73.974***</w:t>
            </w:r>
          </w:p>
        </w:tc>
      </w:tr>
      <w:tr w:rsidR="009D5719" w:rsidRPr="009D5719" w14:paraId="1070C75D" w14:textId="77777777" w:rsidTr="00C360B7">
        <w:trPr>
          <w:trHeight w:val="280"/>
        </w:trPr>
        <w:tc>
          <w:tcPr>
            <w:tcW w:w="0" w:type="auto"/>
            <w:tcBorders>
              <w:top w:val="nil"/>
              <w:left w:val="nil"/>
              <w:bottom w:val="nil"/>
              <w:right w:val="nil"/>
            </w:tcBorders>
            <w:shd w:val="clear" w:color="auto" w:fill="auto"/>
            <w:noWrap/>
            <w:vAlign w:val="bottom"/>
            <w:hideMark/>
          </w:tcPr>
          <w:p w14:paraId="4F13446A"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31346BB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(0.963)</w:t>
            </w:r>
          </w:p>
        </w:tc>
        <w:tc>
          <w:tcPr>
            <w:tcW w:w="0" w:type="auto"/>
            <w:tcBorders>
              <w:top w:val="nil"/>
              <w:left w:val="nil"/>
              <w:bottom w:val="nil"/>
              <w:right w:val="nil"/>
            </w:tcBorders>
            <w:shd w:val="clear" w:color="auto" w:fill="auto"/>
            <w:noWrap/>
            <w:vAlign w:val="bottom"/>
            <w:hideMark/>
          </w:tcPr>
          <w:p w14:paraId="4314A00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(2.855)</w:t>
            </w:r>
          </w:p>
        </w:tc>
        <w:tc>
          <w:tcPr>
            <w:tcW w:w="0" w:type="auto"/>
            <w:tcBorders>
              <w:top w:val="nil"/>
              <w:left w:val="nil"/>
              <w:bottom w:val="nil"/>
              <w:right w:val="nil"/>
            </w:tcBorders>
            <w:shd w:val="clear" w:color="auto" w:fill="auto"/>
            <w:noWrap/>
            <w:vAlign w:val="bottom"/>
            <w:hideMark/>
          </w:tcPr>
          <w:p w14:paraId="094BD28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(2.584)</w:t>
            </w:r>
          </w:p>
        </w:tc>
        <w:tc>
          <w:tcPr>
            <w:tcW w:w="0" w:type="auto"/>
            <w:tcBorders>
              <w:top w:val="nil"/>
              <w:left w:val="nil"/>
              <w:bottom w:val="nil"/>
              <w:right w:val="nil"/>
            </w:tcBorders>
            <w:shd w:val="clear" w:color="auto" w:fill="auto"/>
            <w:noWrap/>
            <w:vAlign w:val="bottom"/>
            <w:hideMark/>
          </w:tcPr>
          <w:p w14:paraId="3CD888C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(2.398)</w:t>
            </w:r>
          </w:p>
        </w:tc>
        <w:tc>
          <w:tcPr>
            <w:tcW w:w="0" w:type="auto"/>
            <w:tcBorders>
              <w:top w:val="nil"/>
              <w:left w:val="nil"/>
              <w:bottom w:val="nil"/>
              <w:right w:val="nil"/>
            </w:tcBorders>
            <w:shd w:val="clear" w:color="auto" w:fill="auto"/>
            <w:noWrap/>
            <w:vAlign w:val="bottom"/>
            <w:hideMark/>
          </w:tcPr>
          <w:p w14:paraId="5A03AD7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(1.929)</w:t>
            </w:r>
          </w:p>
        </w:tc>
        <w:tc>
          <w:tcPr>
            <w:tcW w:w="1451" w:type="dxa"/>
            <w:tcBorders>
              <w:top w:val="nil"/>
              <w:left w:val="nil"/>
              <w:bottom w:val="nil"/>
              <w:right w:val="nil"/>
            </w:tcBorders>
            <w:shd w:val="clear" w:color="auto" w:fill="auto"/>
            <w:noWrap/>
            <w:vAlign w:val="bottom"/>
            <w:hideMark/>
          </w:tcPr>
          <w:p w14:paraId="5A231F3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(7.648)</w:t>
            </w:r>
          </w:p>
        </w:tc>
      </w:tr>
      <w:tr w:rsidR="009D5719" w:rsidRPr="009D5719" w14:paraId="20D1805F" w14:textId="77777777" w:rsidTr="00C360B7">
        <w:trPr>
          <w:trHeight w:val="280"/>
        </w:trPr>
        <w:tc>
          <w:tcPr>
            <w:tcW w:w="0" w:type="auto"/>
            <w:tcBorders>
              <w:top w:val="nil"/>
              <w:left w:val="nil"/>
              <w:bottom w:val="nil"/>
              <w:right w:val="nil"/>
            </w:tcBorders>
            <w:shd w:val="clear" w:color="auto" w:fill="auto"/>
            <w:noWrap/>
            <w:vAlign w:val="bottom"/>
            <w:hideMark/>
          </w:tcPr>
          <w:p w14:paraId="519CFA79"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4.month</w:t>
            </w:r>
          </w:p>
        </w:tc>
        <w:tc>
          <w:tcPr>
            <w:tcW w:w="0" w:type="auto"/>
            <w:tcBorders>
              <w:top w:val="nil"/>
              <w:left w:val="nil"/>
              <w:bottom w:val="nil"/>
              <w:right w:val="nil"/>
            </w:tcBorders>
            <w:shd w:val="clear" w:color="auto" w:fill="auto"/>
            <w:noWrap/>
            <w:vAlign w:val="bottom"/>
            <w:hideMark/>
          </w:tcPr>
          <w:p w14:paraId="0E41DCE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18.484***</w:t>
            </w:r>
          </w:p>
        </w:tc>
        <w:tc>
          <w:tcPr>
            <w:tcW w:w="0" w:type="auto"/>
            <w:tcBorders>
              <w:top w:val="nil"/>
              <w:left w:val="nil"/>
              <w:bottom w:val="nil"/>
              <w:right w:val="nil"/>
            </w:tcBorders>
            <w:shd w:val="clear" w:color="auto" w:fill="auto"/>
            <w:noWrap/>
            <w:vAlign w:val="bottom"/>
            <w:hideMark/>
          </w:tcPr>
          <w:p w14:paraId="0FC582A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-60.013***</w:t>
            </w:r>
          </w:p>
        </w:tc>
        <w:tc>
          <w:tcPr>
            <w:tcW w:w="0" w:type="auto"/>
            <w:tcBorders>
              <w:top w:val="nil"/>
              <w:left w:val="nil"/>
              <w:bottom w:val="nil"/>
              <w:right w:val="nil"/>
            </w:tcBorders>
            <w:shd w:val="clear" w:color="auto" w:fill="auto"/>
            <w:noWrap/>
            <w:vAlign w:val="bottom"/>
            <w:hideMark/>
          </w:tcPr>
          <w:p w14:paraId="27324BF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-37.631***</w:t>
            </w:r>
          </w:p>
        </w:tc>
        <w:tc>
          <w:tcPr>
            <w:tcW w:w="0" w:type="auto"/>
            <w:tcBorders>
              <w:top w:val="nil"/>
              <w:left w:val="nil"/>
              <w:bottom w:val="nil"/>
              <w:right w:val="nil"/>
            </w:tcBorders>
            <w:shd w:val="clear" w:color="auto" w:fill="auto"/>
            <w:noWrap/>
            <w:vAlign w:val="bottom"/>
            <w:hideMark/>
          </w:tcPr>
          <w:p w14:paraId="4F98E98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-49.438***</w:t>
            </w:r>
          </w:p>
        </w:tc>
        <w:tc>
          <w:tcPr>
            <w:tcW w:w="0" w:type="auto"/>
            <w:tcBorders>
              <w:top w:val="nil"/>
              <w:left w:val="nil"/>
              <w:bottom w:val="nil"/>
              <w:right w:val="nil"/>
            </w:tcBorders>
            <w:shd w:val="clear" w:color="auto" w:fill="auto"/>
            <w:noWrap/>
            <w:vAlign w:val="bottom"/>
            <w:hideMark/>
          </w:tcPr>
          <w:p w14:paraId="384456C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-42.859***</w:t>
            </w:r>
          </w:p>
        </w:tc>
        <w:tc>
          <w:tcPr>
            <w:tcW w:w="1451" w:type="dxa"/>
            <w:tcBorders>
              <w:top w:val="nil"/>
              <w:left w:val="nil"/>
              <w:bottom w:val="nil"/>
              <w:right w:val="nil"/>
            </w:tcBorders>
            <w:shd w:val="clear" w:color="auto" w:fill="auto"/>
            <w:noWrap/>
            <w:vAlign w:val="bottom"/>
            <w:hideMark/>
          </w:tcPr>
          <w:p w14:paraId="30C215F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-71.725***</w:t>
            </w:r>
          </w:p>
        </w:tc>
      </w:tr>
      <w:tr w:rsidR="009D5719" w:rsidRPr="009D5719" w14:paraId="4C10F943" w14:textId="77777777" w:rsidTr="00C360B7">
        <w:trPr>
          <w:trHeight w:val="280"/>
        </w:trPr>
        <w:tc>
          <w:tcPr>
            <w:tcW w:w="0" w:type="auto"/>
            <w:tcBorders>
              <w:top w:val="nil"/>
              <w:left w:val="nil"/>
              <w:bottom w:val="nil"/>
              <w:right w:val="nil"/>
            </w:tcBorders>
            <w:shd w:val="clear" w:color="auto" w:fill="auto"/>
            <w:noWrap/>
            <w:vAlign w:val="bottom"/>
            <w:hideMark/>
          </w:tcPr>
          <w:p w14:paraId="2036759C"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44AA4E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(1.647)</w:t>
            </w:r>
          </w:p>
        </w:tc>
        <w:tc>
          <w:tcPr>
            <w:tcW w:w="0" w:type="auto"/>
            <w:tcBorders>
              <w:top w:val="nil"/>
              <w:left w:val="nil"/>
              <w:bottom w:val="nil"/>
              <w:right w:val="nil"/>
            </w:tcBorders>
            <w:shd w:val="clear" w:color="auto" w:fill="auto"/>
            <w:noWrap/>
            <w:vAlign w:val="bottom"/>
            <w:hideMark/>
          </w:tcPr>
          <w:p w14:paraId="1EA4495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(3.868)</w:t>
            </w:r>
          </w:p>
        </w:tc>
        <w:tc>
          <w:tcPr>
            <w:tcW w:w="0" w:type="auto"/>
            <w:tcBorders>
              <w:top w:val="nil"/>
              <w:left w:val="nil"/>
              <w:bottom w:val="nil"/>
              <w:right w:val="nil"/>
            </w:tcBorders>
            <w:shd w:val="clear" w:color="auto" w:fill="auto"/>
            <w:noWrap/>
            <w:vAlign w:val="bottom"/>
            <w:hideMark/>
          </w:tcPr>
          <w:p w14:paraId="1F9D92C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(3.711)</w:t>
            </w:r>
          </w:p>
        </w:tc>
        <w:tc>
          <w:tcPr>
            <w:tcW w:w="0" w:type="auto"/>
            <w:tcBorders>
              <w:top w:val="nil"/>
              <w:left w:val="nil"/>
              <w:bottom w:val="nil"/>
              <w:right w:val="nil"/>
            </w:tcBorders>
            <w:shd w:val="clear" w:color="auto" w:fill="auto"/>
            <w:noWrap/>
            <w:vAlign w:val="bottom"/>
            <w:hideMark/>
          </w:tcPr>
          <w:p w14:paraId="7B139FE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(3.393)</w:t>
            </w:r>
          </w:p>
        </w:tc>
        <w:tc>
          <w:tcPr>
            <w:tcW w:w="0" w:type="auto"/>
            <w:tcBorders>
              <w:top w:val="nil"/>
              <w:left w:val="nil"/>
              <w:bottom w:val="nil"/>
              <w:right w:val="nil"/>
            </w:tcBorders>
            <w:shd w:val="clear" w:color="auto" w:fill="auto"/>
            <w:noWrap/>
            <w:vAlign w:val="bottom"/>
            <w:hideMark/>
          </w:tcPr>
          <w:p w14:paraId="3AEB083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(2.826)</w:t>
            </w:r>
          </w:p>
        </w:tc>
        <w:tc>
          <w:tcPr>
            <w:tcW w:w="1451" w:type="dxa"/>
            <w:tcBorders>
              <w:top w:val="nil"/>
              <w:left w:val="nil"/>
              <w:bottom w:val="nil"/>
              <w:right w:val="nil"/>
            </w:tcBorders>
            <w:shd w:val="clear" w:color="auto" w:fill="auto"/>
            <w:noWrap/>
            <w:vAlign w:val="bottom"/>
            <w:hideMark/>
          </w:tcPr>
          <w:p w14:paraId="65A6D39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(12.308)</w:t>
            </w:r>
          </w:p>
        </w:tc>
      </w:tr>
      <w:tr w:rsidR="009D5719" w:rsidRPr="009D5719" w14:paraId="5FC9179D" w14:textId="77777777" w:rsidTr="00C360B7">
        <w:trPr>
          <w:trHeight w:val="280"/>
        </w:trPr>
        <w:tc>
          <w:tcPr>
            <w:tcW w:w="0" w:type="auto"/>
            <w:tcBorders>
              <w:top w:val="nil"/>
              <w:left w:val="nil"/>
              <w:bottom w:val="nil"/>
              <w:right w:val="nil"/>
            </w:tcBorders>
            <w:shd w:val="clear" w:color="auto" w:fill="auto"/>
            <w:noWrap/>
            <w:vAlign w:val="bottom"/>
            <w:hideMark/>
          </w:tcPr>
          <w:p w14:paraId="42376744"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5.month</w:t>
            </w:r>
          </w:p>
        </w:tc>
        <w:tc>
          <w:tcPr>
            <w:tcW w:w="0" w:type="auto"/>
            <w:tcBorders>
              <w:top w:val="nil"/>
              <w:left w:val="nil"/>
              <w:bottom w:val="nil"/>
              <w:right w:val="nil"/>
            </w:tcBorders>
            <w:shd w:val="clear" w:color="auto" w:fill="auto"/>
            <w:noWrap/>
            <w:vAlign w:val="bottom"/>
            <w:hideMark/>
          </w:tcPr>
          <w:p w14:paraId="6281731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16.365***</w:t>
            </w:r>
          </w:p>
        </w:tc>
        <w:tc>
          <w:tcPr>
            <w:tcW w:w="0" w:type="auto"/>
            <w:tcBorders>
              <w:top w:val="nil"/>
              <w:left w:val="nil"/>
              <w:bottom w:val="nil"/>
              <w:right w:val="nil"/>
            </w:tcBorders>
            <w:shd w:val="clear" w:color="auto" w:fill="auto"/>
            <w:noWrap/>
            <w:vAlign w:val="bottom"/>
            <w:hideMark/>
          </w:tcPr>
          <w:p w14:paraId="1B284B7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-54.539***</w:t>
            </w:r>
          </w:p>
        </w:tc>
        <w:tc>
          <w:tcPr>
            <w:tcW w:w="0" w:type="auto"/>
            <w:tcBorders>
              <w:top w:val="nil"/>
              <w:left w:val="nil"/>
              <w:bottom w:val="nil"/>
              <w:right w:val="nil"/>
            </w:tcBorders>
            <w:shd w:val="clear" w:color="auto" w:fill="auto"/>
            <w:noWrap/>
            <w:vAlign w:val="bottom"/>
            <w:hideMark/>
          </w:tcPr>
          <w:p w14:paraId="73E2CF9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-34.743***</w:t>
            </w:r>
          </w:p>
        </w:tc>
        <w:tc>
          <w:tcPr>
            <w:tcW w:w="0" w:type="auto"/>
            <w:tcBorders>
              <w:top w:val="nil"/>
              <w:left w:val="nil"/>
              <w:bottom w:val="nil"/>
              <w:right w:val="nil"/>
            </w:tcBorders>
            <w:shd w:val="clear" w:color="auto" w:fill="auto"/>
            <w:noWrap/>
            <w:vAlign w:val="bottom"/>
            <w:hideMark/>
          </w:tcPr>
          <w:p w14:paraId="5F43C89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-44.298***</w:t>
            </w:r>
          </w:p>
        </w:tc>
        <w:tc>
          <w:tcPr>
            <w:tcW w:w="0" w:type="auto"/>
            <w:tcBorders>
              <w:top w:val="nil"/>
              <w:left w:val="nil"/>
              <w:bottom w:val="nil"/>
              <w:right w:val="nil"/>
            </w:tcBorders>
            <w:shd w:val="clear" w:color="auto" w:fill="auto"/>
            <w:noWrap/>
            <w:vAlign w:val="bottom"/>
            <w:hideMark/>
          </w:tcPr>
          <w:p w14:paraId="46746F1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-37.261***</w:t>
            </w:r>
          </w:p>
        </w:tc>
        <w:tc>
          <w:tcPr>
            <w:tcW w:w="1451" w:type="dxa"/>
            <w:tcBorders>
              <w:top w:val="nil"/>
              <w:left w:val="nil"/>
              <w:bottom w:val="nil"/>
              <w:right w:val="nil"/>
            </w:tcBorders>
            <w:shd w:val="clear" w:color="auto" w:fill="auto"/>
            <w:noWrap/>
            <w:vAlign w:val="bottom"/>
            <w:hideMark/>
          </w:tcPr>
          <w:p w14:paraId="7BD61AA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-69.821***</w:t>
            </w:r>
          </w:p>
        </w:tc>
      </w:tr>
      <w:tr w:rsidR="009D5719" w:rsidRPr="009D5719" w14:paraId="744D7815" w14:textId="77777777" w:rsidTr="00C360B7">
        <w:trPr>
          <w:trHeight w:val="280"/>
        </w:trPr>
        <w:tc>
          <w:tcPr>
            <w:tcW w:w="0" w:type="auto"/>
            <w:tcBorders>
              <w:top w:val="nil"/>
              <w:left w:val="nil"/>
              <w:bottom w:val="nil"/>
              <w:right w:val="nil"/>
            </w:tcBorders>
            <w:shd w:val="clear" w:color="auto" w:fill="auto"/>
            <w:noWrap/>
            <w:vAlign w:val="bottom"/>
            <w:hideMark/>
          </w:tcPr>
          <w:p w14:paraId="409BBCA0"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31A010C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(2.239)</w:t>
            </w:r>
          </w:p>
        </w:tc>
        <w:tc>
          <w:tcPr>
            <w:tcW w:w="0" w:type="auto"/>
            <w:tcBorders>
              <w:top w:val="nil"/>
              <w:left w:val="nil"/>
              <w:bottom w:val="nil"/>
              <w:right w:val="nil"/>
            </w:tcBorders>
            <w:shd w:val="clear" w:color="auto" w:fill="auto"/>
            <w:noWrap/>
            <w:vAlign w:val="bottom"/>
            <w:hideMark/>
          </w:tcPr>
          <w:p w14:paraId="64AF92A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(4.950)</w:t>
            </w:r>
          </w:p>
        </w:tc>
        <w:tc>
          <w:tcPr>
            <w:tcW w:w="0" w:type="auto"/>
            <w:tcBorders>
              <w:top w:val="nil"/>
              <w:left w:val="nil"/>
              <w:bottom w:val="nil"/>
              <w:right w:val="nil"/>
            </w:tcBorders>
            <w:shd w:val="clear" w:color="auto" w:fill="auto"/>
            <w:noWrap/>
            <w:vAlign w:val="bottom"/>
            <w:hideMark/>
          </w:tcPr>
          <w:p w14:paraId="3E9A090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(5.014)</w:t>
            </w:r>
          </w:p>
        </w:tc>
        <w:tc>
          <w:tcPr>
            <w:tcW w:w="0" w:type="auto"/>
            <w:tcBorders>
              <w:top w:val="nil"/>
              <w:left w:val="nil"/>
              <w:bottom w:val="nil"/>
              <w:right w:val="nil"/>
            </w:tcBorders>
            <w:shd w:val="clear" w:color="auto" w:fill="auto"/>
            <w:noWrap/>
            <w:vAlign w:val="bottom"/>
            <w:hideMark/>
          </w:tcPr>
          <w:p w14:paraId="36583A4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(4.634)</w:t>
            </w:r>
          </w:p>
        </w:tc>
        <w:tc>
          <w:tcPr>
            <w:tcW w:w="0" w:type="auto"/>
            <w:tcBorders>
              <w:top w:val="nil"/>
              <w:left w:val="nil"/>
              <w:bottom w:val="nil"/>
              <w:right w:val="nil"/>
            </w:tcBorders>
            <w:shd w:val="clear" w:color="auto" w:fill="auto"/>
            <w:noWrap/>
            <w:vAlign w:val="bottom"/>
            <w:hideMark/>
          </w:tcPr>
          <w:p w14:paraId="71C0007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(3.787)</w:t>
            </w:r>
          </w:p>
        </w:tc>
        <w:tc>
          <w:tcPr>
            <w:tcW w:w="1451" w:type="dxa"/>
            <w:tcBorders>
              <w:top w:val="nil"/>
              <w:left w:val="nil"/>
              <w:bottom w:val="nil"/>
              <w:right w:val="nil"/>
            </w:tcBorders>
            <w:shd w:val="clear" w:color="auto" w:fill="auto"/>
            <w:noWrap/>
            <w:vAlign w:val="bottom"/>
            <w:hideMark/>
          </w:tcPr>
          <w:p w14:paraId="6DDDE2A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(16.191)</w:t>
            </w:r>
          </w:p>
        </w:tc>
      </w:tr>
      <w:tr w:rsidR="009D5719" w:rsidRPr="009D5719" w14:paraId="2158E293" w14:textId="77777777" w:rsidTr="00C360B7">
        <w:trPr>
          <w:trHeight w:val="280"/>
        </w:trPr>
        <w:tc>
          <w:tcPr>
            <w:tcW w:w="0" w:type="auto"/>
            <w:tcBorders>
              <w:top w:val="nil"/>
              <w:left w:val="nil"/>
              <w:bottom w:val="nil"/>
              <w:right w:val="nil"/>
            </w:tcBorders>
            <w:shd w:val="clear" w:color="auto" w:fill="auto"/>
            <w:noWrap/>
            <w:vAlign w:val="bottom"/>
            <w:hideMark/>
          </w:tcPr>
          <w:p w14:paraId="5B04C639"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6.month</w:t>
            </w:r>
          </w:p>
        </w:tc>
        <w:tc>
          <w:tcPr>
            <w:tcW w:w="0" w:type="auto"/>
            <w:tcBorders>
              <w:top w:val="nil"/>
              <w:left w:val="nil"/>
              <w:bottom w:val="nil"/>
              <w:right w:val="nil"/>
            </w:tcBorders>
            <w:shd w:val="clear" w:color="auto" w:fill="auto"/>
            <w:noWrap/>
            <w:vAlign w:val="bottom"/>
            <w:hideMark/>
          </w:tcPr>
          <w:p w14:paraId="613557A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15.089***</w:t>
            </w:r>
          </w:p>
        </w:tc>
        <w:tc>
          <w:tcPr>
            <w:tcW w:w="0" w:type="auto"/>
            <w:tcBorders>
              <w:top w:val="nil"/>
              <w:left w:val="nil"/>
              <w:bottom w:val="nil"/>
              <w:right w:val="nil"/>
            </w:tcBorders>
            <w:shd w:val="clear" w:color="auto" w:fill="auto"/>
            <w:noWrap/>
            <w:vAlign w:val="bottom"/>
            <w:hideMark/>
          </w:tcPr>
          <w:p w14:paraId="56700DB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-48.216***</w:t>
            </w:r>
          </w:p>
        </w:tc>
        <w:tc>
          <w:tcPr>
            <w:tcW w:w="0" w:type="auto"/>
            <w:tcBorders>
              <w:top w:val="nil"/>
              <w:left w:val="nil"/>
              <w:bottom w:val="nil"/>
              <w:right w:val="nil"/>
            </w:tcBorders>
            <w:shd w:val="clear" w:color="auto" w:fill="auto"/>
            <w:noWrap/>
            <w:vAlign w:val="bottom"/>
            <w:hideMark/>
          </w:tcPr>
          <w:p w14:paraId="23CBD95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-34.754***</w:t>
            </w:r>
          </w:p>
        </w:tc>
        <w:tc>
          <w:tcPr>
            <w:tcW w:w="0" w:type="auto"/>
            <w:tcBorders>
              <w:top w:val="nil"/>
              <w:left w:val="nil"/>
              <w:bottom w:val="nil"/>
              <w:right w:val="nil"/>
            </w:tcBorders>
            <w:shd w:val="clear" w:color="auto" w:fill="auto"/>
            <w:noWrap/>
            <w:vAlign w:val="bottom"/>
            <w:hideMark/>
          </w:tcPr>
          <w:p w14:paraId="5E5E861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-39.003***</w:t>
            </w:r>
          </w:p>
        </w:tc>
        <w:tc>
          <w:tcPr>
            <w:tcW w:w="0" w:type="auto"/>
            <w:tcBorders>
              <w:top w:val="nil"/>
              <w:left w:val="nil"/>
              <w:bottom w:val="nil"/>
              <w:right w:val="nil"/>
            </w:tcBorders>
            <w:shd w:val="clear" w:color="auto" w:fill="auto"/>
            <w:noWrap/>
            <w:vAlign w:val="bottom"/>
            <w:hideMark/>
          </w:tcPr>
          <w:p w14:paraId="6B4C3C1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-35.542***</w:t>
            </w:r>
          </w:p>
        </w:tc>
        <w:tc>
          <w:tcPr>
            <w:tcW w:w="1451" w:type="dxa"/>
            <w:tcBorders>
              <w:top w:val="nil"/>
              <w:left w:val="nil"/>
              <w:bottom w:val="nil"/>
              <w:right w:val="nil"/>
            </w:tcBorders>
            <w:shd w:val="clear" w:color="auto" w:fill="auto"/>
            <w:noWrap/>
            <w:vAlign w:val="bottom"/>
            <w:hideMark/>
          </w:tcPr>
          <w:p w14:paraId="66A9F64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-75.360***</w:t>
            </w:r>
          </w:p>
        </w:tc>
      </w:tr>
      <w:tr w:rsidR="009D5719" w:rsidRPr="009D5719" w14:paraId="5F451D87" w14:textId="77777777" w:rsidTr="00C360B7">
        <w:trPr>
          <w:trHeight w:val="280"/>
        </w:trPr>
        <w:tc>
          <w:tcPr>
            <w:tcW w:w="0" w:type="auto"/>
            <w:tcBorders>
              <w:top w:val="nil"/>
              <w:left w:val="nil"/>
              <w:bottom w:val="nil"/>
              <w:right w:val="nil"/>
            </w:tcBorders>
            <w:shd w:val="clear" w:color="auto" w:fill="auto"/>
            <w:noWrap/>
            <w:vAlign w:val="bottom"/>
            <w:hideMark/>
          </w:tcPr>
          <w:p w14:paraId="69F8D566"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0A1FAC8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(2.256)</w:t>
            </w:r>
          </w:p>
        </w:tc>
        <w:tc>
          <w:tcPr>
            <w:tcW w:w="0" w:type="auto"/>
            <w:tcBorders>
              <w:top w:val="nil"/>
              <w:left w:val="nil"/>
              <w:bottom w:val="nil"/>
              <w:right w:val="nil"/>
            </w:tcBorders>
            <w:shd w:val="clear" w:color="auto" w:fill="auto"/>
            <w:noWrap/>
            <w:vAlign w:val="bottom"/>
            <w:hideMark/>
          </w:tcPr>
          <w:p w14:paraId="7C29B3C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(5.757)</w:t>
            </w:r>
          </w:p>
        </w:tc>
        <w:tc>
          <w:tcPr>
            <w:tcW w:w="0" w:type="auto"/>
            <w:tcBorders>
              <w:top w:val="nil"/>
              <w:left w:val="nil"/>
              <w:bottom w:val="nil"/>
              <w:right w:val="nil"/>
            </w:tcBorders>
            <w:shd w:val="clear" w:color="auto" w:fill="auto"/>
            <w:noWrap/>
            <w:vAlign w:val="bottom"/>
            <w:hideMark/>
          </w:tcPr>
          <w:p w14:paraId="66E25D6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(5.342)</w:t>
            </w:r>
          </w:p>
        </w:tc>
        <w:tc>
          <w:tcPr>
            <w:tcW w:w="0" w:type="auto"/>
            <w:tcBorders>
              <w:top w:val="nil"/>
              <w:left w:val="nil"/>
              <w:bottom w:val="nil"/>
              <w:right w:val="nil"/>
            </w:tcBorders>
            <w:shd w:val="clear" w:color="auto" w:fill="auto"/>
            <w:noWrap/>
            <w:vAlign w:val="bottom"/>
            <w:hideMark/>
          </w:tcPr>
          <w:p w14:paraId="1526850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(4.719)</w:t>
            </w:r>
          </w:p>
        </w:tc>
        <w:tc>
          <w:tcPr>
            <w:tcW w:w="0" w:type="auto"/>
            <w:tcBorders>
              <w:top w:val="nil"/>
              <w:left w:val="nil"/>
              <w:bottom w:val="nil"/>
              <w:right w:val="nil"/>
            </w:tcBorders>
            <w:shd w:val="clear" w:color="auto" w:fill="auto"/>
            <w:noWrap/>
            <w:vAlign w:val="bottom"/>
            <w:hideMark/>
          </w:tcPr>
          <w:p w14:paraId="01CAF98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(4.146)</w:t>
            </w:r>
          </w:p>
        </w:tc>
        <w:tc>
          <w:tcPr>
            <w:tcW w:w="1451" w:type="dxa"/>
            <w:tcBorders>
              <w:top w:val="nil"/>
              <w:left w:val="nil"/>
              <w:bottom w:val="nil"/>
              <w:right w:val="nil"/>
            </w:tcBorders>
            <w:shd w:val="clear" w:color="auto" w:fill="auto"/>
            <w:noWrap/>
            <w:vAlign w:val="bottom"/>
            <w:hideMark/>
          </w:tcPr>
          <w:p w14:paraId="62D34D3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(18.155)</w:t>
            </w:r>
          </w:p>
        </w:tc>
      </w:tr>
      <w:tr w:rsidR="009D5719" w:rsidRPr="009D5719" w14:paraId="083A813F" w14:textId="77777777" w:rsidTr="00C360B7">
        <w:trPr>
          <w:trHeight w:val="280"/>
        </w:trPr>
        <w:tc>
          <w:tcPr>
            <w:tcW w:w="0" w:type="auto"/>
            <w:tcBorders>
              <w:top w:val="nil"/>
              <w:left w:val="nil"/>
              <w:bottom w:val="nil"/>
              <w:right w:val="nil"/>
            </w:tcBorders>
            <w:shd w:val="clear" w:color="auto" w:fill="auto"/>
            <w:noWrap/>
            <w:vAlign w:val="bottom"/>
            <w:hideMark/>
          </w:tcPr>
          <w:p w14:paraId="798AB4E2"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7.month</w:t>
            </w:r>
          </w:p>
        </w:tc>
        <w:tc>
          <w:tcPr>
            <w:tcW w:w="0" w:type="auto"/>
            <w:tcBorders>
              <w:top w:val="nil"/>
              <w:left w:val="nil"/>
              <w:bottom w:val="nil"/>
              <w:right w:val="nil"/>
            </w:tcBorders>
            <w:shd w:val="clear" w:color="auto" w:fill="auto"/>
            <w:noWrap/>
            <w:vAlign w:val="bottom"/>
            <w:hideMark/>
          </w:tcPr>
          <w:p w14:paraId="594A311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16.274***</w:t>
            </w:r>
          </w:p>
        </w:tc>
        <w:tc>
          <w:tcPr>
            <w:tcW w:w="0" w:type="auto"/>
            <w:tcBorders>
              <w:top w:val="nil"/>
              <w:left w:val="nil"/>
              <w:bottom w:val="nil"/>
              <w:right w:val="nil"/>
            </w:tcBorders>
            <w:shd w:val="clear" w:color="auto" w:fill="auto"/>
            <w:noWrap/>
            <w:vAlign w:val="bottom"/>
            <w:hideMark/>
          </w:tcPr>
          <w:p w14:paraId="0E4959D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-48.219***</w:t>
            </w:r>
          </w:p>
        </w:tc>
        <w:tc>
          <w:tcPr>
            <w:tcW w:w="0" w:type="auto"/>
            <w:tcBorders>
              <w:top w:val="nil"/>
              <w:left w:val="nil"/>
              <w:bottom w:val="nil"/>
              <w:right w:val="nil"/>
            </w:tcBorders>
            <w:shd w:val="clear" w:color="auto" w:fill="auto"/>
            <w:noWrap/>
            <w:vAlign w:val="bottom"/>
            <w:hideMark/>
          </w:tcPr>
          <w:p w14:paraId="2F07EF2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-35.790***</w:t>
            </w:r>
          </w:p>
        </w:tc>
        <w:tc>
          <w:tcPr>
            <w:tcW w:w="0" w:type="auto"/>
            <w:tcBorders>
              <w:top w:val="nil"/>
              <w:left w:val="nil"/>
              <w:bottom w:val="nil"/>
              <w:right w:val="nil"/>
            </w:tcBorders>
            <w:shd w:val="clear" w:color="auto" w:fill="auto"/>
            <w:noWrap/>
            <w:vAlign w:val="bottom"/>
            <w:hideMark/>
          </w:tcPr>
          <w:p w14:paraId="5E6DD26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-38.770***</w:t>
            </w:r>
          </w:p>
        </w:tc>
        <w:tc>
          <w:tcPr>
            <w:tcW w:w="0" w:type="auto"/>
            <w:tcBorders>
              <w:top w:val="nil"/>
              <w:left w:val="nil"/>
              <w:bottom w:val="nil"/>
              <w:right w:val="nil"/>
            </w:tcBorders>
            <w:shd w:val="clear" w:color="auto" w:fill="auto"/>
            <w:noWrap/>
            <w:vAlign w:val="bottom"/>
            <w:hideMark/>
          </w:tcPr>
          <w:p w14:paraId="362CA3B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-39.436***</w:t>
            </w:r>
          </w:p>
        </w:tc>
        <w:tc>
          <w:tcPr>
            <w:tcW w:w="1451" w:type="dxa"/>
            <w:tcBorders>
              <w:top w:val="nil"/>
              <w:left w:val="nil"/>
              <w:bottom w:val="nil"/>
              <w:right w:val="nil"/>
            </w:tcBorders>
            <w:shd w:val="clear" w:color="auto" w:fill="auto"/>
            <w:noWrap/>
            <w:vAlign w:val="bottom"/>
            <w:hideMark/>
          </w:tcPr>
          <w:p w14:paraId="69915A1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-86.208***</w:t>
            </w:r>
          </w:p>
        </w:tc>
      </w:tr>
      <w:tr w:rsidR="009D5719" w:rsidRPr="009D5719" w14:paraId="690DCE45" w14:textId="77777777" w:rsidTr="00C360B7">
        <w:trPr>
          <w:trHeight w:val="280"/>
        </w:trPr>
        <w:tc>
          <w:tcPr>
            <w:tcW w:w="0" w:type="auto"/>
            <w:tcBorders>
              <w:top w:val="nil"/>
              <w:left w:val="nil"/>
              <w:bottom w:val="nil"/>
              <w:right w:val="nil"/>
            </w:tcBorders>
            <w:shd w:val="clear" w:color="auto" w:fill="auto"/>
            <w:noWrap/>
            <w:vAlign w:val="bottom"/>
            <w:hideMark/>
          </w:tcPr>
          <w:p w14:paraId="477D13A5"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24677EE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(1.927)</w:t>
            </w:r>
          </w:p>
        </w:tc>
        <w:tc>
          <w:tcPr>
            <w:tcW w:w="0" w:type="auto"/>
            <w:tcBorders>
              <w:top w:val="nil"/>
              <w:left w:val="nil"/>
              <w:bottom w:val="nil"/>
              <w:right w:val="nil"/>
            </w:tcBorders>
            <w:shd w:val="clear" w:color="auto" w:fill="auto"/>
            <w:noWrap/>
            <w:vAlign w:val="bottom"/>
            <w:hideMark/>
          </w:tcPr>
          <w:p w14:paraId="317C353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(5.465)</w:t>
            </w:r>
          </w:p>
        </w:tc>
        <w:tc>
          <w:tcPr>
            <w:tcW w:w="0" w:type="auto"/>
            <w:tcBorders>
              <w:top w:val="nil"/>
              <w:left w:val="nil"/>
              <w:bottom w:val="nil"/>
              <w:right w:val="nil"/>
            </w:tcBorders>
            <w:shd w:val="clear" w:color="auto" w:fill="auto"/>
            <w:noWrap/>
            <w:vAlign w:val="bottom"/>
            <w:hideMark/>
          </w:tcPr>
          <w:p w14:paraId="05125BE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(5.235)</w:t>
            </w:r>
          </w:p>
        </w:tc>
        <w:tc>
          <w:tcPr>
            <w:tcW w:w="0" w:type="auto"/>
            <w:tcBorders>
              <w:top w:val="nil"/>
              <w:left w:val="nil"/>
              <w:bottom w:val="nil"/>
              <w:right w:val="nil"/>
            </w:tcBorders>
            <w:shd w:val="clear" w:color="auto" w:fill="auto"/>
            <w:noWrap/>
            <w:vAlign w:val="bottom"/>
            <w:hideMark/>
          </w:tcPr>
          <w:p w14:paraId="2C5C1CA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(4.468)</w:t>
            </w:r>
          </w:p>
        </w:tc>
        <w:tc>
          <w:tcPr>
            <w:tcW w:w="0" w:type="auto"/>
            <w:tcBorders>
              <w:top w:val="nil"/>
              <w:left w:val="nil"/>
              <w:bottom w:val="nil"/>
              <w:right w:val="nil"/>
            </w:tcBorders>
            <w:shd w:val="clear" w:color="auto" w:fill="auto"/>
            <w:noWrap/>
            <w:vAlign w:val="bottom"/>
            <w:hideMark/>
          </w:tcPr>
          <w:p w14:paraId="64C4494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(4.198)</w:t>
            </w:r>
          </w:p>
        </w:tc>
        <w:tc>
          <w:tcPr>
            <w:tcW w:w="1451" w:type="dxa"/>
            <w:tcBorders>
              <w:top w:val="nil"/>
              <w:left w:val="nil"/>
              <w:bottom w:val="nil"/>
              <w:right w:val="nil"/>
            </w:tcBorders>
            <w:shd w:val="clear" w:color="auto" w:fill="auto"/>
            <w:noWrap/>
            <w:vAlign w:val="bottom"/>
            <w:hideMark/>
          </w:tcPr>
          <w:p w14:paraId="593BE00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(17.128)</w:t>
            </w:r>
          </w:p>
        </w:tc>
      </w:tr>
      <w:tr w:rsidR="009D5719" w:rsidRPr="009D5719" w14:paraId="53CC89F4" w14:textId="77777777" w:rsidTr="00C360B7">
        <w:trPr>
          <w:trHeight w:val="280"/>
        </w:trPr>
        <w:tc>
          <w:tcPr>
            <w:tcW w:w="0" w:type="auto"/>
            <w:tcBorders>
              <w:top w:val="nil"/>
              <w:left w:val="nil"/>
              <w:bottom w:val="nil"/>
              <w:right w:val="nil"/>
            </w:tcBorders>
            <w:shd w:val="clear" w:color="auto" w:fill="auto"/>
            <w:noWrap/>
            <w:vAlign w:val="bottom"/>
            <w:hideMark/>
          </w:tcPr>
          <w:p w14:paraId="51AF1E95"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8.month</w:t>
            </w:r>
          </w:p>
        </w:tc>
        <w:tc>
          <w:tcPr>
            <w:tcW w:w="0" w:type="auto"/>
            <w:tcBorders>
              <w:top w:val="nil"/>
              <w:left w:val="nil"/>
              <w:bottom w:val="nil"/>
              <w:right w:val="nil"/>
            </w:tcBorders>
            <w:shd w:val="clear" w:color="auto" w:fill="auto"/>
            <w:noWrap/>
            <w:vAlign w:val="bottom"/>
            <w:hideMark/>
          </w:tcPr>
          <w:p w14:paraId="46351B1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16.980***</w:t>
            </w:r>
          </w:p>
        </w:tc>
        <w:tc>
          <w:tcPr>
            <w:tcW w:w="0" w:type="auto"/>
            <w:tcBorders>
              <w:top w:val="nil"/>
              <w:left w:val="nil"/>
              <w:bottom w:val="nil"/>
              <w:right w:val="nil"/>
            </w:tcBorders>
            <w:shd w:val="clear" w:color="auto" w:fill="auto"/>
            <w:noWrap/>
            <w:vAlign w:val="bottom"/>
            <w:hideMark/>
          </w:tcPr>
          <w:p w14:paraId="7E5CF67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-51.998***</w:t>
            </w:r>
          </w:p>
        </w:tc>
        <w:tc>
          <w:tcPr>
            <w:tcW w:w="0" w:type="auto"/>
            <w:tcBorders>
              <w:top w:val="nil"/>
              <w:left w:val="nil"/>
              <w:bottom w:val="nil"/>
              <w:right w:val="nil"/>
            </w:tcBorders>
            <w:shd w:val="clear" w:color="auto" w:fill="auto"/>
            <w:noWrap/>
            <w:vAlign w:val="bottom"/>
            <w:hideMark/>
          </w:tcPr>
          <w:p w14:paraId="4F689E3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-36.887***</w:t>
            </w:r>
          </w:p>
        </w:tc>
        <w:tc>
          <w:tcPr>
            <w:tcW w:w="0" w:type="auto"/>
            <w:tcBorders>
              <w:top w:val="nil"/>
              <w:left w:val="nil"/>
              <w:bottom w:val="nil"/>
              <w:right w:val="nil"/>
            </w:tcBorders>
            <w:shd w:val="clear" w:color="auto" w:fill="auto"/>
            <w:noWrap/>
            <w:vAlign w:val="bottom"/>
            <w:hideMark/>
          </w:tcPr>
          <w:p w14:paraId="7B8A22B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-39.641***</w:t>
            </w:r>
          </w:p>
        </w:tc>
        <w:tc>
          <w:tcPr>
            <w:tcW w:w="0" w:type="auto"/>
            <w:tcBorders>
              <w:top w:val="nil"/>
              <w:left w:val="nil"/>
              <w:bottom w:val="nil"/>
              <w:right w:val="nil"/>
            </w:tcBorders>
            <w:shd w:val="clear" w:color="auto" w:fill="auto"/>
            <w:noWrap/>
            <w:vAlign w:val="bottom"/>
            <w:hideMark/>
          </w:tcPr>
          <w:p w14:paraId="7D62503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-38.903***</w:t>
            </w:r>
          </w:p>
        </w:tc>
        <w:tc>
          <w:tcPr>
            <w:tcW w:w="1451" w:type="dxa"/>
            <w:tcBorders>
              <w:top w:val="nil"/>
              <w:left w:val="nil"/>
              <w:bottom w:val="nil"/>
              <w:right w:val="nil"/>
            </w:tcBorders>
            <w:shd w:val="clear" w:color="auto" w:fill="auto"/>
            <w:noWrap/>
            <w:vAlign w:val="bottom"/>
            <w:hideMark/>
          </w:tcPr>
          <w:p w14:paraId="3FAC65D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-101.189***</w:t>
            </w:r>
          </w:p>
        </w:tc>
      </w:tr>
      <w:tr w:rsidR="009D5719" w:rsidRPr="009D5719" w14:paraId="659EB5A7" w14:textId="77777777" w:rsidTr="00C360B7">
        <w:trPr>
          <w:trHeight w:val="280"/>
        </w:trPr>
        <w:tc>
          <w:tcPr>
            <w:tcW w:w="0" w:type="auto"/>
            <w:tcBorders>
              <w:top w:val="nil"/>
              <w:left w:val="nil"/>
              <w:bottom w:val="nil"/>
              <w:right w:val="nil"/>
            </w:tcBorders>
            <w:shd w:val="clear" w:color="auto" w:fill="auto"/>
            <w:noWrap/>
            <w:vAlign w:val="bottom"/>
            <w:hideMark/>
          </w:tcPr>
          <w:p w14:paraId="68D53818"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56D5E47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(1.497)</w:t>
            </w:r>
          </w:p>
        </w:tc>
        <w:tc>
          <w:tcPr>
            <w:tcW w:w="0" w:type="auto"/>
            <w:tcBorders>
              <w:top w:val="nil"/>
              <w:left w:val="nil"/>
              <w:bottom w:val="nil"/>
              <w:right w:val="nil"/>
            </w:tcBorders>
            <w:shd w:val="clear" w:color="auto" w:fill="auto"/>
            <w:noWrap/>
            <w:vAlign w:val="bottom"/>
            <w:hideMark/>
          </w:tcPr>
          <w:p w14:paraId="66AB34D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(5.080)</w:t>
            </w:r>
          </w:p>
        </w:tc>
        <w:tc>
          <w:tcPr>
            <w:tcW w:w="0" w:type="auto"/>
            <w:tcBorders>
              <w:top w:val="nil"/>
              <w:left w:val="nil"/>
              <w:bottom w:val="nil"/>
              <w:right w:val="nil"/>
            </w:tcBorders>
            <w:shd w:val="clear" w:color="auto" w:fill="auto"/>
            <w:noWrap/>
            <w:vAlign w:val="bottom"/>
            <w:hideMark/>
          </w:tcPr>
          <w:p w14:paraId="51184852"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(5.011)</w:t>
            </w:r>
          </w:p>
        </w:tc>
        <w:tc>
          <w:tcPr>
            <w:tcW w:w="0" w:type="auto"/>
            <w:tcBorders>
              <w:top w:val="nil"/>
              <w:left w:val="nil"/>
              <w:bottom w:val="nil"/>
              <w:right w:val="nil"/>
            </w:tcBorders>
            <w:shd w:val="clear" w:color="auto" w:fill="auto"/>
            <w:noWrap/>
            <w:vAlign w:val="bottom"/>
            <w:hideMark/>
          </w:tcPr>
          <w:p w14:paraId="2B9B4E8D"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(3.965)</w:t>
            </w:r>
          </w:p>
        </w:tc>
        <w:tc>
          <w:tcPr>
            <w:tcW w:w="0" w:type="auto"/>
            <w:tcBorders>
              <w:top w:val="nil"/>
              <w:left w:val="nil"/>
              <w:bottom w:val="nil"/>
              <w:right w:val="nil"/>
            </w:tcBorders>
            <w:shd w:val="clear" w:color="auto" w:fill="auto"/>
            <w:noWrap/>
            <w:vAlign w:val="bottom"/>
            <w:hideMark/>
          </w:tcPr>
          <w:p w14:paraId="00214C1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(3.569)</w:t>
            </w:r>
          </w:p>
        </w:tc>
        <w:tc>
          <w:tcPr>
            <w:tcW w:w="1451" w:type="dxa"/>
            <w:tcBorders>
              <w:top w:val="nil"/>
              <w:left w:val="nil"/>
              <w:bottom w:val="nil"/>
              <w:right w:val="nil"/>
            </w:tcBorders>
            <w:shd w:val="clear" w:color="auto" w:fill="auto"/>
            <w:noWrap/>
            <w:vAlign w:val="bottom"/>
            <w:hideMark/>
          </w:tcPr>
          <w:p w14:paraId="1871ED0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(16.441)</w:t>
            </w:r>
          </w:p>
        </w:tc>
      </w:tr>
      <w:tr w:rsidR="009D5719" w:rsidRPr="009D5719" w14:paraId="7845BE09" w14:textId="77777777" w:rsidTr="00C360B7">
        <w:trPr>
          <w:trHeight w:val="280"/>
        </w:trPr>
        <w:tc>
          <w:tcPr>
            <w:tcW w:w="0" w:type="auto"/>
            <w:tcBorders>
              <w:top w:val="nil"/>
              <w:left w:val="nil"/>
              <w:bottom w:val="nil"/>
              <w:right w:val="nil"/>
            </w:tcBorders>
            <w:shd w:val="clear" w:color="auto" w:fill="auto"/>
            <w:noWrap/>
            <w:vAlign w:val="bottom"/>
            <w:hideMark/>
          </w:tcPr>
          <w:p w14:paraId="14ABB1E7"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Constant</w:t>
            </w:r>
          </w:p>
        </w:tc>
        <w:tc>
          <w:tcPr>
            <w:tcW w:w="0" w:type="auto"/>
            <w:tcBorders>
              <w:top w:val="nil"/>
              <w:left w:val="nil"/>
              <w:bottom w:val="nil"/>
              <w:right w:val="nil"/>
            </w:tcBorders>
            <w:shd w:val="clear" w:color="auto" w:fill="auto"/>
            <w:noWrap/>
            <w:vAlign w:val="bottom"/>
            <w:hideMark/>
          </w:tcPr>
          <w:p w14:paraId="19D495A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-23.763***</w:t>
            </w:r>
          </w:p>
        </w:tc>
        <w:tc>
          <w:tcPr>
            <w:tcW w:w="0" w:type="auto"/>
            <w:tcBorders>
              <w:top w:val="nil"/>
              <w:left w:val="nil"/>
              <w:bottom w:val="nil"/>
              <w:right w:val="nil"/>
            </w:tcBorders>
            <w:shd w:val="clear" w:color="auto" w:fill="auto"/>
            <w:noWrap/>
            <w:vAlign w:val="bottom"/>
            <w:hideMark/>
          </w:tcPr>
          <w:p w14:paraId="0B7D097F"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76.834***</w:t>
            </w:r>
          </w:p>
        </w:tc>
        <w:tc>
          <w:tcPr>
            <w:tcW w:w="0" w:type="auto"/>
            <w:tcBorders>
              <w:top w:val="nil"/>
              <w:left w:val="nil"/>
              <w:bottom w:val="nil"/>
              <w:right w:val="nil"/>
            </w:tcBorders>
            <w:shd w:val="clear" w:color="auto" w:fill="auto"/>
            <w:noWrap/>
            <w:vAlign w:val="bottom"/>
            <w:hideMark/>
          </w:tcPr>
          <w:p w14:paraId="56E215F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58.922***</w:t>
            </w:r>
          </w:p>
        </w:tc>
        <w:tc>
          <w:tcPr>
            <w:tcW w:w="0" w:type="auto"/>
            <w:tcBorders>
              <w:top w:val="nil"/>
              <w:left w:val="nil"/>
              <w:bottom w:val="nil"/>
              <w:right w:val="nil"/>
            </w:tcBorders>
            <w:shd w:val="clear" w:color="auto" w:fill="auto"/>
            <w:noWrap/>
            <w:vAlign w:val="bottom"/>
            <w:hideMark/>
          </w:tcPr>
          <w:p w14:paraId="3A7193D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64.511***</w:t>
            </w:r>
          </w:p>
        </w:tc>
        <w:tc>
          <w:tcPr>
            <w:tcW w:w="0" w:type="auto"/>
            <w:tcBorders>
              <w:top w:val="nil"/>
              <w:left w:val="nil"/>
              <w:bottom w:val="nil"/>
              <w:right w:val="nil"/>
            </w:tcBorders>
            <w:shd w:val="clear" w:color="auto" w:fill="auto"/>
            <w:noWrap/>
            <w:vAlign w:val="bottom"/>
            <w:hideMark/>
          </w:tcPr>
          <w:p w14:paraId="3241D3F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55.173***</w:t>
            </w:r>
          </w:p>
        </w:tc>
        <w:tc>
          <w:tcPr>
            <w:tcW w:w="1451" w:type="dxa"/>
            <w:tcBorders>
              <w:top w:val="nil"/>
              <w:left w:val="nil"/>
              <w:bottom w:val="nil"/>
              <w:right w:val="nil"/>
            </w:tcBorders>
            <w:shd w:val="clear" w:color="auto" w:fill="auto"/>
            <w:noWrap/>
            <w:vAlign w:val="bottom"/>
            <w:hideMark/>
          </w:tcPr>
          <w:p w14:paraId="226E307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83.219***</w:t>
            </w:r>
          </w:p>
        </w:tc>
      </w:tr>
      <w:tr w:rsidR="009D5719" w:rsidRPr="009D5719" w14:paraId="74C3CAB5" w14:textId="77777777" w:rsidTr="00C360B7">
        <w:trPr>
          <w:trHeight w:val="280"/>
        </w:trPr>
        <w:tc>
          <w:tcPr>
            <w:tcW w:w="0" w:type="auto"/>
            <w:tcBorders>
              <w:top w:val="nil"/>
              <w:left w:val="nil"/>
              <w:bottom w:val="nil"/>
              <w:right w:val="nil"/>
            </w:tcBorders>
            <w:shd w:val="clear" w:color="auto" w:fill="auto"/>
            <w:noWrap/>
            <w:vAlign w:val="bottom"/>
            <w:hideMark/>
          </w:tcPr>
          <w:p w14:paraId="26984EB1"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3C0F93A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(1.366)</w:t>
            </w:r>
          </w:p>
        </w:tc>
        <w:tc>
          <w:tcPr>
            <w:tcW w:w="0" w:type="auto"/>
            <w:tcBorders>
              <w:top w:val="nil"/>
              <w:left w:val="nil"/>
              <w:bottom w:val="nil"/>
              <w:right w:val="nil"/>
            </w:tcBorders>
            <w:shd w:val="clear" w:color="auto" w:fill="auto"/>
            <w:noWrap/>
            <w:vAlign w:val="bottom"/>
            <w:hideMark/>
          </w:tcPr>
          <w:p w14:paraId="3CA1103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(4.884)</w:t>
            </w:r>
          </w:p>
        </w:tc>
        <w:tc>
          <w:tcPr>
            <w:tcW w:w="0" w:type="auto"/>
            <w:tcBorders>
              <w:top w:val="nil"/>
              <w:left w:val="nil"/>
              <w:bottom w:val="nil"/>
              <w:right w:val="nil"/>
            </w:tcBorders>
            <w:shd w:val="clear" w:color="auto" w:fill="auto"/>
            <w:noWrap/>
            <w:vAlign w:val="bottom"/>
            <w:hideMark/>
          </w:tcPr>
          <w:p w14:paraId="09F8DD7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(4.511)</w:t>
            </w:r>
          </w:p>
        </w:tc>
        <w:tc>
          <w:tcPr>
            <w:tcW w:w="0" w:type="auto"/>
            <w:tcBorders>
              <w:top w:val="nil"/>
              <w:left w:val="nil"/>
              <w:bottom w:val="nil"/>
              <w:right w:val="nil"/>
            </w:tcBorders>
            <w:shd w:val="clear" w:color="auto" w:fill="auto"/>
            <w:noWrap/>
            <w:vAlign w:val="bottom"/>
            <w:hideMark/>
          </w:tcPr>
          <w:p w14:paraId="2B53CD0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(3.838)</w:t>
            </w:r>
          </w:p>
        </w:tc>
        <w:tc>
          <w:tcPr>
            <w:tcW w:w="0" w:type="auto"/>
            <w:tcBorders>
              <w:top w:val="nil"/>
              <w:left w:val="nil"/>
              <w:bottom w:val="nil"/>
              <w:right w:val="nil"/>
            </w:tcBorders>
            <w:shd w:val="clear" w:color="auto" w:fill="auto"/>
            <w:noWrap/>
            <w:vAlign w:val="bottom"/>
            <w:hideMark/>
          </w:tcPr>
          <w:p w14:paraId="48ED805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(2.983)</w:t>
            </w:r>
          </w:p>
        </w:tc>
        <w:tc>
          <w:tcPr>
            <w:tcW w:w="1451" w:type="dxa"/>
            <w:tcBorders>
              <w:top w:val="nil"/>
              <w:left w:val="nil"/>
              <w:bottom w:val="nil"/>
              <w:right w:val="nil"/>
            </w:tcBorders>
            <w:shd w:val="clear" w:color="auto" w:fill="auto"/>
            <w:noWrap/>
            <w:vAlign w:val="bottom"/>
            <w:hideMark/>
          </w:tcPr>
          <w:p w14:paraId="5A61CB5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(16.131)</w:t>
            </w:r>
          </w:p>
        </w:tc>
      </w:tr>
      <w:tr w:rsidR="009D5719" w:rsidRPr="009D5719" w14:paraId="27FD4AAE" w14:textId="77777777" w:rsidTr="00C360B7">
        <w:trPr>
          <w:trHeight w:val="280"/>
        </w:trPr>
        <w:tc>
          <w:tcPr>
            <w:tcW w:w="0" w:type="auto"/>
            <w:tcBorders>
              <w:top w:val="nil"/>
              <w:left w:val="nil"/>
              <w:bottom w:val="nil"/>
              <w:right w:val="nil"/>
            </w:tcBorders>
            <w:shd w:val="clear" w:color="auto" w:fill="auto"/>
            <w:noWrap/>
            <w:vAlign w:val="bottom"/>
            <w:hideMark/>
          </w:tcPr>
          <w:p w14:paraId="164481BC" w14:textId="77777777" w:rsidR="009D5719" w:rsidRPr="009D5719" w:rsidRDefault="009D5719" w:rsidP="009D5719">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5D31C610" w14:textId="77777777" w:rsidR="009D5719" w:rsidRPr="009D5719" w:rsidRDefault="009D5719" w:rsidP="009D5719">
            <w:pP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59883990" w14:textId="77777777" w:rsidR="009D5719" w:rsidRPr="009D5719" w:rsidRDefault="009D5719" w:rsidP="009D5719">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5A153CC7" w14:textId="77777777" w:rsidR="009D5719" w:rsidRPr="009D5719" w:rsidRDefault="009D5719" w:rsidP="009D5719">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7BC9749B" w14:textId="77777777" w:rsidR="009D5719" w:rsidRPr="009D5719" w:rsidRDefault="009D5719" w:rsidP="009D5719">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7A8B6819" w14:textId="77777777" w:rsidR="009D5719" w:rsidRPr="009D5719" w:rsidRDefault="009D5719" w:rsidP="009D5719">
            <w:pPr>
              <w:jc w:val="center"/>
              <w:rPr>
                <w:rFonts w:ascii="Times New Roman" w:eastAsia="Times New Roman" w:hAnsi="Times New Roman" w:cs="Times New Roman"/>
                <w:sz w:val="20"/>
                <w:szCs w:val="20"/>
              </w:rPr>
            </w:pPr>
          </w:p>
        </w:tc>
        <w:tc>
          <w:tcPr>
            <w:tcW w:w="1451" w:type="dxa"/>
            <w:tcBorders>
              <w:top w:val="nil"/>
              <w:left w:val="nil"/>
              <w:bottom w:val="nil"/>
              <w:right w:val="nil"/>
            </w:tcBorders>
            <w:shd w:val="clear" w:color="auto" w:fill="auto"/>
            <w:noWrap/>
            <w:vAlign w:val="bottom"/>
            <w:hideMark/>
          </w:tcPr>
          <w:p w14:paraId="512588C8" w14:textId="77777777" w:rsidR="009D5719" w:rsidRPr="009D5719" w:rsidRDefault="009D5719" w:rsidP="009D5719">
            <w:pPr>
              <w:jc w:val="center"/>
              <w:rPr>
                <w:rFonts w:ascii="Times New Roman" w:eastAsia="Times New Roman" w:hAnsi="Times New Roman" w:cs="Times New Roman"/>
                <w:sz w:val="20"/>
                <w:szCs w:val="20"/>
              </w:rPr>
            </w:pPr>
          </w:p>
        </w:tc>
      </w:tr>
      <w:tr w:rsidR="009D5719" w:rsidRPr="009D5719" w14:paraId="03337A80" w14:textId="77777777" w:rsidTr="00C360B7">
        <w:trPr>
          <w:trHeight w:val="280"/>
        </w:trPr>
        <w:tc>
          <w:tcPr>
            <w:tcW w:w="0" w:type="auto"/>
            <w:tcBorders>
              <w:top w:val="nil"/>
              <w:left w:val="nil"/>
              <w:bottom w:val="nil"/>
              <w:right w:val="nil"/>
            </w:tcBorders>
            <w:shd w:val="clear" w:color="auto" w:fill="auto"/>
            <w:noWrap/>
            <w:vAlign w:val="bottom"/>
            <w:hideMark/>
          </w:tcPr>
          <w:p w14:paraId="3B26CFE0"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Observations</w:t>
            </w:r>
          </w:p>
        </w:tc>
        <w:tc>
          <w:tcPr>
            <w:tcW w:w="0" w:type="auto"/>
            <w:tcBorders>
              <w:top w:val="nil"/>
              <w:left w:val="nil"/>
              <w:bottom w:val="nil"/>
              <w:right w:val="nil"/>
            </w:tcBorders>
            <w:shd w:val="clear" w:color="auto" w:fill="auto"/>
            <w:noWrap/>
            <w:vAlign w:val="bottom"/>
            <w:hideMark/>
          </w:tcPr>
          <w:p w14:paraId="5B0195F8"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5,492</w:t>
            </w:r>
          </w:p>
        </w:tc>
        <w:tc>
          <w:tcPr>
            <w:tcW w:w="0" w:type="auto"/>
            <w:tcBorders>
              <w:top w:val="nil"/>
              <w:left w:val="nil"/>
              <w:bottom w:val="nil"/>
              <w:right w:val="nil"/>
            </w:tcBorders>
            <w:shd w:val="clear" w:color="auto" w:fill="auto"/>
            <w:noWrap/>
            <w:vAlign w:val="bottom"/>
            <w:hideMark/>
          </w:tcPr>
          <w:p w14:paraId="66E343E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5,494</w:t>
            </w:r>
          </w:p>
        </w:tc>
        <w:tc>
          <w:tcPr>
            <w:tcW w:w="0" w:type="auto"/>
            <w:tcBorders>
              <w:top w:val="nil"/>
              <w:left w:val="nil"/>
              <w:bottom w:val="nil"/>
              <w:right w:val="nil"/>
            </w:tcBorders>
            <w:shd w:val="clear" w:color="auto" w:fill="auto"/>
            <w:noWrap/>
            <w:vAlign w:val="bottom"/>
            <w:hideMark/>
          </w:tcPr>
          <w:p w14:paraId="37AFE11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5,489</w:t>
            </w:r>
          </w:p>
        </w:tc>
        <w:tc>
          <w:tcPr>
            <w:tcW w:w="0" w:type="auto"/>
            <w:tcBorders>
              <w:top w:val="nil"/>
              <w:left w:val="nil"/>
              <w:bottom w:val="nil"/>
              <w:right w:val="nil"/>
            </w:tcBorders>
            <w:shd w:val="clear" w:color="auto" w:fill="auto"/>
            <w:noWrap/>
            <w:vAlign w:val="bottom"/>
            <w:hideMark/>
          </w:tcPr>
          <w:p w14:paraId="715AD45E"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5,494</w:t>
            </w:r>
          </w:p>
        </w:tc>
        <w:tc>
          <w:tcPr>
            <w:tcW w:w="0" w:type="auto"/>
            <w:tcBorders>
              <w:top w:val="nil"/>
              <w:left w:val="nil"/>
              <w:bottom w:val="nil"/>
              <w:right w:val="nil"/>
            </w:tcBorders>
            <w:shd w:val="clear" w:color="auto" w:fill="auto"/>
            <w:noWrap/>
            <w:vAlign w:val="bottom"/>
            <w:hideMark/>
          </w:tcPr>
          <w:p w14:paraId="44921003"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5,494</w:t>
            </w:r>
          </w:p>
        </w:tc>
        <w:tc>
          <w:tcPr>
            <w:tcW w:w="1451" w:type="dxa"/>
            <w:tcBorders>
              <w:top w:val="nil"/>
              <w:left w:val="nil"/>
              <w:bottom w:val="nil"/>
              <w:right w:val="nil"/>
            </w:tcBorders>
            <w:shd w:val="clear" w:color="auto" w:fill="auto"/>
            <w:noWrap/>
            <w:vAlign w:val="bottom"/>
            <w:hideMark/>
          </w:tcPr>
          <w:p w14:paraId="327D124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5,494</w:t>
            </w:r>
          </w:p>
        </w:tc>
      </w:tr>
      <w:tr w:rsidR="009D5719" w:rsidRPr="009D5719" w14:paraId="58606970" w14:textId="77777777" w:rsidTr="00C360B7">
        <w:trPr>
          <w:trHeight w:val="280"/>
        </w:trPr>
        <w:tc>
          <w:tcPr>
            <w:tcW w:w="0" w:type="auto"/>
            <w:tcBorders>
              <w:top w:val="nil"/>
              <w:left w:val="nil"/>
              <w:bottom w:val="nil"/>
              <w:right w:val="nil"/>
            </w:tcBorders>
            <w:shd w:val="clear" w:color="auto" w:fill="auto"/>
            <w:noWrap/>
            <w:vAlign w:val="bottom"/>
            <w:hideMark/>
          </w:tcPr>
          <w:p w14:paraId="68EF3D44" w14:textId="77777777"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R-squared</w:t>
            </w:r>
          </w:p>
        </w:tc>
        <w:tc>
          <w:tcPr>
            <w:tcW w:w="0" w:type="auto"/>
            <w:tcBorders>
              <w:top w:val="nil"/>
              <w:left w:val="nil"/>
              <w:bottom w:val="nil"/>
              <w:right w:val="nil"/>
            </w:tcBorders>
            <w:shd w:val="clear" w:color="auto" w:fill="auto"/>
            <w:noWrap/>
            <w:vAlign w:val="bottom"/>
            <w:hideMark/>
          </w:tcPr>
          <w:p w14:paraId="3D0E3F75"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0.682</w:t>
            </w:r>
          </w:p>
        </w:tc>
        <w:tc>
          <w:tcPr>
            <w:tcW w:w="0" w:type="auto"/>
            <w:tcBorders>
              <w:top w:val="nil"/>
              <w:left w:val="nil"/>
              <w:bottom w:val="nil"/>
              <w:right w:val="nil"/>
            </w:tcBorders>
            <w:shd w:val="clear" w:color="auto" w:fill="auto"/>
            <w:noWrap/>
            <w:vAlign w:val="bottom"/>
            <w:hideMark/>
          </w:tcPr>
          <w:p w14:paraId="66A54F9B"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0.821</w:t>
            </w:r>
          </w:p>
        </w:tc>
        <w:tc>
          <w:tcPr>
            <w:tcW w:w="0" w:type="auto"/>
            <w:tcBorders>
              <w:top w:val="nil"/>
              <w:left w:val="nil"/>
              <w:bottom w:val="nil"/>
              <w:right w:val="nil"/>
            </w:tcBorders>
            <w:shd w:val="clear" w:color="auto" w:fill="auto"/>
            <w:noWrap/>
            <w:vAlign w:val="bottom"/>
            <w:hideMark/>
          </w:tcPr>
          <w:p w14:paraId="6EEBE0E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0.414</w:t>
            </w:r>
          </w:p>
        </w:tc>
        <w:tc>
          <w:tcPr>
            <w:tcW w:w="0" w:type="auto"/>
            <w:tcBorders>
              <w:top w:val="nil"/>
              <w:left w:val="nil"/>
              <w:bottom w:val="nil"/>
              <w:right w:val="nil"/>
            </w:tcBorders>
            <w:shd w:val="clear" w:color="auto" w:fill="auto"/>
            <w:noWrap/>
            <w:vAlign w:val="bottom"/>
            <w:hideMark/>
          </w:tcPr>
          <w:p w14:paraId="6A20A1FC"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0.797</w:t>
            </w:r>
          </w:p>
        </w:tc>
        <w:tc>
          <w:tcPr>
            <w:tcW w:w="0" w:type="auto"/>
            <w:tcBorders>
              <w:top w:val="nil"/>
              <w:left w:val="nil"/>
              <w:bottom w:val="nil"/>
              <w:right w:val="nil"/>
            </w:tcBorders>
            <w:shd w:val="clear" w:color="auto" w:fill="auto"/>
            <w:noWrap/>
            <w:vAlign w:val="bottom"/>
            <w:hideMark/>
          </w:tcPr>
          <w:p w14:paraId="00F3424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0.443</w:t>
            </w:r>
          </w:p>
        </w:tc>
        <w:tc>
          <w:tcPr>
            <w:tcW w:w="1451" w:type="dxa"/>
            <w:tcBorders>
              <w:top w:val="nil"/>
              <w:left w:val="nil"/>
              <w:bottom w:val="nil"/>
              <w:right w:val="nil"/>
            </w:tcBorders>
            <w:shd w:val="clear" w:color="auto" w:fill="auto"/>
            <w:noWrap/>
            <w:vAlign w:val="bottom"/>
            <w:hideMark/>
          </w:tcPr>
          <w:p w14:paraId="0F4154D7"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0.631</w:t>
            </w:r>
          </w:p>
        </w:tc>
      </w:tr>
      <w:tr w:rsidR="009D5719" w:rsidRPr="009D5719" w14:paraId="6D3DDD53" w14:textId="77777777" w:rsidTr="00C360B7">
        <w:trPr>
          <w:trHeight w:val="280"/>
        </w:trPr>
        <w:tc>
          <w:tcPr>
            <w:tcW w:w="0" w:type="auto"/>
            <w:tcBorders>
              <w:top w:val="nil"/>
              <w:left w:val="nil"/>
              <w:bottom w:val="single" w:sz="4" w:space="0" w:color="000000"/>
              <w:right w:val="nil"/>
            </w:tcBorders>
            <w:shd w:val="clear" w:color="auto" w:fill="auto"/>
            <w:noWrap/>
            <w:vAlign w:val="bottom"/>
            <w:hideMark/>
          </w:tcPr>
          <w:p w14:paraId="05B9CEE9" w14:textId="4017936E" w:rsidR="009D5719" w:rsidRPr="009D5719" w:rsidRDefault="009D5719" w:rsidP="009D5719">
            <w:pPr>
              <w:rPr>
                <w:rFonts w:ascii="Calibri" w:eastAsia="Times New Roman" w:hAnsi="Calibri" w:cs="Calibri"/>
                <w:sz w:val="20"/>
                <w:szCs w:val="20"/>
              </w:rPr>
            </w:pPr>
            <w:r w:rsidRPr="009D5719">
              <w:rPr>
                <w:rFonts w:ascii="Calibri" w:eastAsia="Times New Roman" w:hAnsi="Calibri" w:cs="Calibri"/>
                <w:sz w:val="20"/>
                <w:szCs w:val="20"/>
              </w:rPr>
              <w:t xml:space="preserve">Number of </w:t>
            </w:r>
            <w:r w:rsidR="00145CBF">
              <w:rPr>
                <w:rFonts w:ascii="Calibri" w:eastAsia="Times New Roman" w:hAnsi="Calibri" w:cs="Calibri"/>
                <w:sz w:val="20"/>
                <w:szCs w:val="20"/>
              </w:rPr>
              <w:t>countries</w:t>
            </w:r>
          </w:p>
        </w:tc>
        <w:tc>
          <w:tcPr>
            <w:tcW w:w="0" w:type="auto"/>
            <w:tcBorders>
              <w:top w:val="nil"/>
              <w:left w:val="nil"/>
              <w:bottom w:val="single" w:sz="4" w:space="0" w:color="000000"/>
              <w:right w:val="nil"/>
            </w:tcBorders>
            <w:shd w:val="clear" w:color="auto" w:fill="auto"/>
            <w:noWrap/>
            <w:vAlign w:val="bottom"/>
            <w:hideMark/>
          </w:tcPr>
          <w:p w14:paraId="44437AF0"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6BD02F2A"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2CAE4044"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33E43AA9"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55AB2396"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c>
          <w:tcPr>
            <w:tcW w:w="1451" w:type="dxa"/>
            <w:tcBorders>
              <w:top w:val="nil"/>
              <w:left w:val="nil"/>
              <w:bottom w:val="single" w:sz="4" w:space="0" w:color="000000"/>
              <w:right w:val="nil"/>
            </w:tcBorders>
            <w:shd w:val="clear" w:color="auto" w:fill="auto"/>
            <w:noWrap/>
            <w:vAlign w:val="bottom"/>
            <w:hideMark/>
          </w:tcPr>
          <w:p w14:paraId="21810231" w14:textId="77777777" w:rsidR="009D5719" w:rsidRPr="009D5719" w:rsidRDefault="009D5719" w:rsidP="009D5719">
            <w:pPr>
              <w:jc w:val="center"/>
              <w:rPr>
                <w:rFonts w:ascii="Calibri" w:eastAsia="Times New Roman" w:hAnsi="Calibri" w:cs="Calibri"/>
                <w:sz w:val="20"/>
                <w:szCs w:val="20"/>
              </w:rPr>
            </w:pPr>
            <w:r w:rsidRPr="009D5719">
              <w:rPr>
                <w:rFonts w:ascii="Calibri" w:eastAsia="Times New Roman" w:hAnsi="Calibri" w:cs="Calibri"/>
                <w:sz w:val="20"/>
                <w:szCs w:val="20"/>
              </w:rPr>
              <w:t>36</w:t>
            </w:r>
          </w:p>
        </w:tc>
      </w:tr>
    </w:tbl>
    <w:p w14:paraId="7E7823EE" w14:textId="77777777" w:rsidR="00C360B7" w:rsidRDefault="00C360B7" w:rsidP="00AD7857">
      <w:pPr>
        <w:spacing w:line="480" w:lineRule="auto"/>
        <w:rPr>
          <w:rFonts w:ascii="Garamond" w:hAnsi="Garamond" w:cs="Times New Roman"/>
          <w:b/>
        </w:rPr>
      </w:pPr>
    </w:p>
    <w:p w14:paraId="66091072" w14:textId="30E7BD61" w:rsidR="00256F3E" w:rsidRDefault="00C360B7" w:rsidP="00AD7857">
      <w:pPr>
        <w:spacing w:line="480" w:lineRule="auto"/>
        <w:rPr>
          <w:rFonts w:ascii="Calibri" w:eastAsia="Times New Roman" w:hAnsi="Calibri" w:cs="Calibri"/>
          <w:sz w:val="20"/>
          <w:szCs w:val="20"/>
        </w:rPr>
      </w:pPr>
      <w:r w:rsidRPr="009D5719">
        <w:rPr>
          <w:rFonts w:ascii="Calibri" w:eastAsia="Times New Roman" w:hAnsi="Calibri" w:cs="Calibri"/>
          <w:sz w:val="20"/>
          <w:szCs w:val="20"/>
        </w:rPr>
        <w:t>Robust standard errors in parentheses</w:t>
      </w:r>
    </w:p>
    <w:p w14:paraId="4558F06E" w14:textId="6D262F31" w:rsidR="00C360B7" w:rsidRDefault="00C360B7" w:rsidP="00C360B7">
      <w:pPr>
        <w:rPr>
          <w:rFonts w:ascii="Calibri" w:eastAsia="Times New Roman" w:hAnsi="Calibri" w:cs="Calibri"/>
          <w:sz w:val="20"/>
          <w:szCs w:val="20"/>
        </w:rPr>
      </w:pPr>
      <w:r w:rsidRPr="009D5719">
        <w:rPr>
          <w:rFonts w:ascii="Calibri" w:eastAsia="Times New Roman" w:hAnsi="Calibri" w:cs="Calibri"/>
          <w:sz w:val="20"/>
          <w:szCs w:val="20"/>
        </w:rPr>
        <w:t>*** p&lt;0.01, ** p&lt;0.05, * p&lt;0.1</w:t>
      </w:r>
    </w:p>
    <w:p w14:paraId="6CED6B86" w14:textId="6B42F647" w:rsidR="00C360B7" w:rsidRDefault="00C360B7" w:rsidP="00C360B7">
      <w:pPr>
        <w:rPr>
          <w:rFonts w:ascii="Calibri" w:eastAsia="Times New Roman" w:hAnsi="Calibri" w:cs="Calibri"/>
          <w:sz w:val="20"/>
          <w:szCs w:val="20"/>
        </w:rPr>
      </w:pPr>
    </w:p>
    <w:p w14:paraId="02EEF2B7" w14:textId="23E1FFC5" w:rsidR="00C360B7" w:rsidRDefault="00C360B7" w:rsidP="00C360B7">
      <w:pPr>
        <w:rPr>
          <w:rFonts w:ascii="Calibri" w:eastAsia="Times New Roman" w:hAnsi="Calibri" w:cs="Calibri"/>
          <w:sz w:val="20"/>
          <w:szCs w:val="20"/>
        </w:rPr>
      </w:pPr>
    </w:p>
    <w:p w14:paraId="301DDF45" w14:textId="050B151D" w:rsidR="00C360B7" w:rsidRDefault="00C360B7" w:rsidP="00C360B7">
      <w:pPr>
        <w:rPr>
          <w:rFonts w:ascii="Calibri" w:eastAsia="Times New Roman" w:hAnsi="Calibri" w:cs="Calibri"/>
          <w:sz w:val="20"/>
          <w:szCs w:val="20"/>
        </w:rPr>
      </w:pPr>
    </w:p>
    <w:p w14:paraId="67CD0627" w14:textId="3F7207A5" w:rsidR="006C109B" w:rsidRDefault="006C109B" w:rsidP="00AD7857">
      <w:pPr>
        <w:spacing w:line="480" w:lineRule="auto"/>
        <w:rPr>
          <w:rFonts w:ascii="Garamond" w:hAnsi="Garamond" w:cs="Times New Roman"/>
          <w:b/>
        </w:rPr>
      </w:pPr>
    </w:p>
    <w:p w14:paraId="149C19FD" w14:textId="1C60D885" w:rsidR="006C109B" w:rsidRDefault="006C109B" w:rsidP="00AD7857">
      <w:pPr>
        <w:spacing w:line="480" w:lineRule="auto"/>
        <w:rPr>
          <w:rFonts w:ascii="Garamond" w:hAnsi="Garamond" w:cs="Times New Roman"/>
          <w:b/>
        </w:rPr>
      </w:pPr>
      <w:r>
        <w:rPr>
          <w:rFonts w:ascii="Garamond" w:hAnsi="Garamond" w:cs="Times New Roman"/>
          <w:b/>
        </w:rPr>
        <w:lastRenderedPageBreak/>
        <w:t xml:space="preserve">Table </w:t>
      </w:r>
      <w:r w:rsidR="00145CBF">
        <w:rPr>
          <w:rFonts w:ascii="Garamond" w:hAnsi="Garamond" w:cs="Times New Roman"/>
          <w:b/>
        </w:rPr>
        <w:t>4</w:t>
      </w:r>
      <w:r>
        <w:rPr>
          <w:rFonts w:ascii="Garamond" w:hAnsi="Garamond" w:cs="Times New Roman"/>
          <w:b/>
        </w:rPr>
        <w:t xml:space="preserve">. Results from Model 3.2  </w:t>
      </w:r>
    </w:p>
    <w:tbl>
      <w:tblPr>
        <w:tblW w:w="9810" w:type="dxa"/>
        <w:tblLook w:val="04A0" w:firstRow="1" w:lastRow="0" w:firstColumn="1" w:lastColumn="0" w:noHBand="0" w:noVBand="1"/>
      </w:tblPr>
      <w:tblGrid>
        <w:gridCol w:w="2180"/>
        <w:gridCol w:w="1497"/>
        <w:gridCol w:w="1134"/>
        <w:gridCol w:w="1253"/>
        <w:gridCol w:w="1168"/>
        <w:gridCol w:w="1480"/>
        <w:gridCol w:w="1614"/>
      </w:tblGrid>
      <w:tr w:rsidR="00145CBF" w:rsidRPr="00145CBF" w14:paraId="0F0B1DA4" w14:textId="77777777" w:rsidTr="00145CBF">
        <w:trPr>
          <w:trHeight w:val="280"/>
        </w:trPr>
        <w:tc>
          <w:tcPr>
            <w:tcW w:w="0" w:type="auto"/>
            <w:tcBorders>
              <w:top w:val="single" w:sz="4" w:space="0" w:color="000000"/>
              <w:left w:val="nil"/>
              <w:bottom w:val="nil"/>
              <w:right w:val="nil"/>
            </w:tcBorders>
            <w:shd w:val="clear" w:color="auto" w:fill="auto"/>
            <w:noWrap/>
            <w:vAlign w:val="bottom"/>
            <w:hideMark/>
          </w:tcPr>
          <w:p w14:paraId="12AB2D65"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4BF943B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w:t>
            </w:r>
          </w:p>
        </w:tc>
        <w:tc>
          <w:tcPr>
            <w:tcW w:w="0" w:type="auto"/>
            <w:tcBorders>
              <w:top w:val="single" w:sz="4" w:space="0" w:color="000000"/>
              <w:left w:val="nil"/>
              <w:bottom w:val="nil"/>
              <w:right w:val="nil"/>
            </w:tcBorders>
            <w:shd w:val="clear" w:color="auto" w:fill="auto"/>
            <w:noWrap/>
            <w:vAlign w:val="bottom"/>
            <w:hideMark/>
          </w:tcPr>
          <w:p w14:paraId="34A6F2D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w:t>
            </w:r>
          </w:p>
        </w:tc>
        <w:tc>
          <w:tcPr>
            <w:tcW w:w="0" w:type="auto"/>
            <w:tcBorders>
              <w:top w:val="single" w:sz="4" w:space="0" w:color="000000"/>
              <w:left w:val="nil"/>
              <w:bottom w:val="nil"/>
              <w:right w:val="nil"/>
            </w:tcBorders>
            <w:shd w:val="clear" w:color="auto" w:fill="auto"/>
            <w:noWrap/>
            <w:vAlign w:val="bottom"/>
            <w:hideMark/>
          </w:tcPr>
          <w:p w14:paraId="03BFAAA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w:t>
            </w:r>
          </w:p>
        </w:tc>
        <w:tc>
          <w:tcPr>
            <w:tcW w:w="0" w:type="auto"/>
            <w:tcBorders>
              <w:top w:val="single" w:sz="4" w:space="0" w:color="000000"/>
              <w:left w:val="nil"/>
              <w:bottom w:val="nil"/>
              <w:right w:val="nil"/>
            </w:tcBorders>
            <w:shd w:val="clear" w:color="auto" w:fill="auto"/>
            <w:noWrap/>
            <w:vAlign w:val="bottom"/>
            <w:hideMark/>
          </w:tcPr>
          <w:p w14:paraId="6B0396F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w:t>
            </w:r>
          </w:p>
        </w:tc>
        <w:tc>
          <w:tcPr>
            <w:tcW w:w="0" w:type="auto"/>
            <w:tcBorders>
              <w:top w:val="single" w:sz="4" w:space="0" w:color="000000"/>
              <w:left w:val="nil"/>
              <w:bottom w:val="nil"/>
              <w:right w:val="nil"/>
            </w:tcBorders>
            <w:shd w:val="clear" w:color="auto" w:fill="auto"/>
            <w:noWrap/>
            <w:vAlign w:val="bottom"/>
            <w:hideMark/>
          </w:tcPr>
          <w:p w14:paraId="03C4A0E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w:t>
            </w:r>
          </w:p>
        </w:tc>
        <w:tc>
          <w:tcPr>
            <w:tcW w:w="1614" w:type="dxa"/>
            <w:tcBorders>
              <w:top w:val="single" w:sz="4" w:space="0" w:color="000000"/>
              <w:left w:val="nil"/>
              <w:bottom w:val="nil"/>
              <w:right w:val="nil"/>
            </w:tcBorders>
            <w:shd w:val="clear" w:color="auto" w:fill="auto"/>
            <w:noWrap/>
            <w:vAlign w:val="bottom"/>
            <w:hideMark/>
          </w:tcPr>
          <w:p w14:paraId="295DD04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(6)</w:t>
            </w:r>
          </w:p>
        </w:tc>
      </w:tr>
      <w:tr w:rsidR="00145CBF" w:rsidRPr="00145CBF" w14:paraId="1922DCDD" w14:textId="77777777" w:rsidTr="00145CBF">
        <w:trPr>
          <w:trHeight w:val="280"/>
        </w:trPr>
        <w:tc>
          <w:tcPr>
            <w:tcW w:w="0" w:type="auto"/>
            <w:tcBorders>
              <w:top w:val="nil"/>
              <w:left w:val="nil"/>
              <w:bottom w:val="nil"/>
              <w:right w:val="nil"/>
            </w:tcBorders>
            <w:shd w:val="clear" w:color="auto" w:fill="auto"/>
            <w:noWrap/>
            <w:vAlign w:val="bottom"/>
            <w:hideMark/>
          </w:tcPr>
          <w:p w14:paraId="387CCFC1"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VARIABLES</w:t>
            </w:r>
          </w:p>
        </w:tc>
        <w:tc>
          <w:tcPr>
            <w:tcW w:w="0" w:type="auto"/>
            <w:tcBorders>
              <w:top w:val="nil"/>
              <w:left w:val="nil"/>
              <w:bottom w:val="nil"/>
              <w:right w:val="nil"/>
            </w:tcBorders>
            <w:shd w:val="clear" w:color="auto" w:fill="auto"/>
            <w:noWrap/>
            <w:vAlign w:val="bottom"/>
            <w:hideMark/>
          </w:tcPr>
          <w:p w14:paraId="273AFB47"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gmr_residential</w:t>
            </w:r>
            <w:proofErr w:type="spellEnd"/>
          </w:p>
        </w:tc>
        <w:tc>
          <w:tcPr>
            <w:tcW w:w="0" w:type="auto"/>
            <w:tcBorders>
              <w:top w:val="nil"/>
              <w:left w:val="nil"/>
              <w:bottom w:val="nil"/>
              <w:right w:val="nil"/>
            </w:tcBorders>
            <w:shd w:val="clear" w:color="auto" w:fill="auto"/>
            <w:noWrap/>
            <w:vAlign w:val="bottom"/>
            <w:hideMark/>
          </w:tcPr>
          <w:p w14:paraId="1CC6964E"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gmr_retail</w:t>
            </w:r>
            <w:proofErr w:type="spellEnd"/>
          </w:p>
        </w:tc>
        <w:tc>
          <w:tcPr>
            <w:tcW w:w="0" w:type="auto"/>
            <w:tcBorders>
              <w:top w:val="nil"/>
              <w:left w:val="nil"/>
              <w:bottom w:val="nil"/>
              <w:right w:val="nil"/>
            </w:tcBorders>
            <w:shd w:val="clear" w:color="auto" w:fill="auto"/>
            <w:noWrap/>
            <w:vAlign w:val="bottom"/>
            <w:hideMark/>
          </w:tcPr>
          <w:p w14:paraId="0980FB11"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gmr_grocery</w:t>
            </w:r>
            <w:proofErr w:type="spellEnd"/>
          </w:p>
        </w:tc>
        <w:tc>
          <w:tcPr>
            <w:tcW w:w="0" w:type="auto"/>
            <w:tcBorders>
              <w:top w:val="nil"/>
              <w:left w:val="nil"/>
              <w:bottom w:val="nil"/>
              <w:right w:val="nil"/>
            </w:tcBorders>
            <w:shd w:val="clear" w:color="auto" w:fill="auto"/>
            <w:noWrap/>
            <w:vAlign w:val="bottom"/>
            <w:hideMark/>
          </w:tcPr>
          <w:p w14:paraId="342C6EA7"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gmr_transit</w:t>
            </w:r>
            <w:proofErr w:type="spellEnd"/>
          </w:p>
        </w:tc>
        <w:tc>
          <w:tcPr>
            <w:tcW w:w="0" w:type="auto"/>
            <w:tcBorders>
              <w:top w:val="nil"/>
              <w:left w:val="nil"/>
              <w:bottom w:val="nil"/>
              <w:right w:val="nil"/>
            </w:tcBorders>
            <w:shd w:val="clear" w:color="auto" w:fill="auto"/>
            <w:noWrap/>
            <w:vAlign w:val="bottom"/>
            <w:hideMark/>
          </w:tcPr>
          <w:p w14:paraId="279DCE57"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gmr_workplace</w:t>
            </w:r>
            <w:proofErr w:type="spellEnd"/>
          </w:p>
        </w:tc>
        <w:tc>
          <w:tcPr>
            <w:tcW w:w="1614" w:type="dxa"/>
            <w:tcBorders>
              <w:top w:val="nil"/>
              <w:left w:val="nil"/>
              <w:bottom w:val="nil"/>
              <w:right w:val="nil"/>
            </w:tcBorders>
            <w:shd w:val="clear" w:color="auto" w:fill="auto"/>
            <w:noWrap/>
            <w:vAlign w:val="bottom"/>
            <w:hideMark/>
          </w:tcPr>
          <w:p w14:paraId="6C01B8FE" w14:textId="77777777" w:rsidR="00145CBF" w:rsidRPr="00145CBF" w:rsidRDefault="00145CBF" w:rsidP="00145CBF">
            <w:pPr>
              <w:jc w:val="center"/>
              <w:rPr>
                <w:rFonts w:ascii="Calibri" w:eastAsia="Times New Roman" w:hAnsi="Calibri" w:cs="Calibri"/>
                <w:sz w:val="20"/>
                <w:szCs w:val="20"/>
              </w:rPr>
            </w:pPr>
            <w:proofErr w:type="spellStart"/>
            <w:r w:rsidRPr="00145CBF">
              <w:rPr>
                <w:rFonts w:ascii="Calibri" w:eastAsia="Times New Roman" w:hAnsi="Calibri" w:cs="Calibri"/>
                <w:sz w:val="20"/>
                <w:szCs w:val="20"/>
              </w:rPr>
              <w:t>gmr_parks</w:t>
            </w:r>
            <w:proofErr w:type="spellEnd"/>
          </w:p>
        </w:tc>
      </w:tr>
      <w:tr w:rsidR="00145CBF" w:rsidRPr="00145CBF" w14:paraId="0956864F" w14:textId="77777777" w:rsidTr="00145CBF">
        <w:trPr>
          <w:trHeight w:val="280"/>
        </w:trPr>
        <w:tc>
          <w:tcPr>
            <w:tcW w:w="0" w:type="auto"/>
            <w:tcBorders>
              <w:top w:val="single" w:sz="4" w:space="0" w:color="000000"/>
              <w:left w:val="nil"/>
              <w:bottom w:val="nil"/>
              <w:right w:val="nil"/>
            </w:tcBorders>
            <w:shd w:val="clear" w:color="auto" w:fill="auto"/>
            <w:noWrap/>
            <w:vAlign w:val="bottom"/>
            <w:hideMark/>
          </w:tcPr>
          <w:p w14:paraId="697FD609"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6843099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6ED4868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6A3ACA1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6C68437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c>
          <w:tcPr>
            <w:tcW w:w="0" w:type="auto"/>
            <w:tcBorders>
              <w:top w:val="single" w:sz="4" w:space="0" w:color="000000"/>
              <w:left w:val="nil"/>
              <w:bottom w:val="nil"/>
              <w:right w:val="nil"/>
            </w:tcBorders>
            <w:shd w:val="clear" w:color="auto" w:fill="auto"/>
            <w:noWrap/>
            <w:vAlign w:val="bottom"/>
            <w:hideMark/>
          </w:tcPr>
          <w:p w14:paraId="76F0843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c>
          <w:tcPr>
            <w:tcW w:w="1614" w:type="dxa"/>
            <w:tcBorders>
              <w:top w:val="single" w:sz="4" w:space="0" w:color="000000"/>
              <w:left w:val="nil"/>
              <w:bottom w:val="nil"/>
              <w:right w:val="nil"/>
            </w:tcBorders>
            <w:shd w:val="clear" w:color="auto" w:fill="auto"/>
            <w:noWrap/>
            <w:vAlign w:val="bottom"/>
            <w:hideMark/>
          </w:tcPr>
          <w:p w14:paraId="040D327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 </w:t>
            </w:r>
          </w:p>
        </w:tc>
      </w:tr>
      <w:tr w:rsidR="00145CBF" w:rsidRPr="00145CBF" w14:paraId="6A25E37C" w14:textId="77777777" w:rsidTr="00145CBF">
        <w:trPr>
          <w:trHeight w:val="280"/>
        </w:trPr>
        <w:tc>
          <w:tcPr>
            <w:tcW w:w="0" w:type="auto"/>
            <w:tcBorders>
              <w:top w:val="nil"/>
              <w:left w:val="nil"/>
              <w:bottom w:val="nil"/>
              <w:right w:val="nil"/>
            </w:tcBorders>
            <w:shd w:val="clear" w:color="auto" w:fill="auto"/>
            <w:noWrap/>
            <w:vAlign w:val="bottom"/>
            <w:hideMark/>
          </w:tcPr>
          <w:p w14:paraId="576B2E35" w14:textId="77777777" w:rsidR="00145CBF" w:rsidRPr="00145CBF" w:rsidRDefault="00145CBF" w:rsidP="00145CBF">
            <w:pPr>
              <w:rPr>
                <w:rFonts w:ascii="Calibri" w:eastAsia="Times New Roman" w:hAnsi="Calibri" w:cs="Calibri"/>
                <w:sz w:val="20"/>
                <w:szCs w:val="20"/>
              </w:rPr>
            </w:pPr>
            <w:proofErr w:type="spellStart"/>
            <w:r w:rsidRPr="00145CBF">
              <w:rPr>
                <w:rFonts w:ascii="Calibri" w:eastAsia="Times New Roman" w:hAnsi="Calibri" w:cs="Calibri"/>
                <w:sz w:val="20"/>
                <w:szCs w:val="20"/>
              </w:rPr>
              <w:t>policy_stringency</w:t>
            </w:r>
            <w:proofErr w:type="spellEnd"/>
          </w:p>
        </w:tc>
        <w:tc>
          <w:tcPr>
            <w:tcW w:w="0" w:type="auto"/>
            <w:tcBorders>
              <w:top w:val="nil"/>
              <w:left w:val="nil"/>
              <w:bottom w:val="nil"/>
              <w:right w:val="nil"/>
            </w:tcBorders>
            <w:shd w:val="clear" w:color="auto" w:fill="auto"/>
            <w:noWrap/>
            <w:vAlign w:val="bottom"/>
            <w:hideMark/>
          </w:tcPr>
          <w:p w14:paraId="45D89938"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-0.563**</w:t>
            </w:r>
          </w:p>
        </w:tc>
        <w:tc>
          <w:tcPr>
            <w:tcW w:w="0" w:type="auto"/>
            <w:tcBorders>
              <w:top w:val="nil"/>
              <w:left w:val="nil"/>
              <w:bottom w:val="nil"/>
              <w:right w:val="nil"/>
            </w:tcBorders>
            <w:shd w:val="clear" w:color="auto" w:fill="auto"/>
            <w:noWrap/>
            <w:vAlign w:val="bottom"/>
            <w:hideMark/>
          </w:tcPr>
          <w:p w14:paraId="217ADDC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-0.785***</w:t>
            </w:r>
          </w:p>
        </w:tc>
        <w:tc>
          <w:tcPr>
            <w:tcW w:w="0" w:type="auto"/>
            <w:tcBorders>
              <w:top w:val="nil"/>
              <w:left w:val="nil"/>
              <w:bottom w:val="nil"/>
              <w:right w:val="nil"/>
            </w:tcBorders>
            <w:shd w:val="clear" w:color="auto" w:fill="auto"/>
            <w:noWrap/>
            <w:vAlign w:val="bottom"/>
            <w:hideMark/>
          </w:tcPr>
          <w:p w14:paraId="0199D18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-0.519***</w:t>
            </w:r>
          </w:p>
        </w:tc>
        <w:tc>
          <w:tcPr>
            <w:tcW w:w="0" w:type="auto"/>
            <w:tcBorders>
              <w:top w:val="nil"/>
              <w:left w:val="nil"/>
              <w:bottom w:val="nil"/>
              <w:right w:val="nil"/>
            </w:tcBorders>
            <w:shd w:val="clear" w:color="auto" w:fill="auto"/>
            <w:noWrap/>
            <w:vAlign w:val="bottom"/>
            <w:hideMark/>
          </w:tcPr>
          <w:p w14:paraId="0507625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-0.694***</w:t>
            </w:r>
          </w:p>
        </w:tc>
        <w:tc>
          <w:tcPr>
            <w:tcW w:w="0" w:type="auto"/>
            <w:tcBorders>
              <w:top w:val="nil"/>
              <w:left w:val="nil"/>
              <w:bottom w:val="nil"/>
              <w:right w:val="nil"/>
            </w:tcBorders>
            <w:shd w:val="clear" w:color="auto" w:fill="auto"/>
            <w:noWrap/>
            <w:vAlign w:val="bottom"/>
            <w:hideMark/>
          </w:tcPr>
          <w:p w14:paraId="0755401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-0.588***</w:t>
            </w:r>
          </w:p>
        </w:tc>
        <w:tc>
          <w:tcPr>
            <w:tcW w:w="1614" w:type="dxa"/>
            <w:tcBorders>
              <w:top w:val="nil"/>
              <w:left w:val="nil"/>
              <w:bottom w:val="nil"/>
              <w:right w:val="nil"/>
            </w:tcBorders>
            <w:shd w:val="clear" w:color="auto" w:fill="auto"/>
            <w:noWrap/>
            <w:vAlign w:val="bottom"/>
            <w:hideMark/>
          </w:tcPr>
          <w:p w14:paraId="6C894B9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-0.563**</w:t>
            </w:r>
          </w:p>
        </w:tc>
      </w:tr>
      <w:tr w:rsidR="00145CBF" w:rsidRPr="00145CBF" w14:paraId="6F1CB28F" w14:textId="77777777" w:rsidTr="00145CBF">
        <w:trPr>
          <w:trHeight w:val="280"/>
        </w:trPr>
        <w:tc>
          <w:tcPr>
            <w:tcW w:w="0" w:type="auto"/>
            <w:tcBorders>
              <w:top w:val="nil"/>
              <w:left w:val="nil"/>
              <w:bottom w:val="nil"/>
              <w:right w:val="nil"/>
            </w:tcBorders>
            <w:shd w:val="clear" w:color="auto" w:fill="auto"/>
            <w:noWrap/>
            <w:vAlign w:val="bottom"/>
            <w:hideMark/>
          </w:tcPr>
          <w:p w14:paraId="4A94F339"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4F43B01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(0.236)</w:t>
            </w:r>
          </w:p>
        </w:tc>
        <w:tc>
          <w:tcPr>
            <w:tcW w:w="0" w:type="auto"/>
            <w:tcBorders>
              <w:top w:val="nil"/>
              <w:left w:val="nil"/>
              <w:bottom w:val="nil"/>
              <w:right w:val="nil"/>
            </w:tcBorders>
            <w:shd w:val="clear" w:color="auto" w:fill="auto"/>
            <w:noWrap/>
            <w:vAlign w:val="bottom"/>
            <w:hideMark/>
          </w:tcPr>
          <w:p w14:paraId="72C843A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(0.056)</w:t>
            </w:r>
          </w:p>
        </w:tc>
        <w:tc>
          <w:tcPr>
            <w:tcW w:w="0" w:type="auto"/>
            <w:tcBorders>
              <w:top w:val="nil"/>
              <w:left w:val="nil"/>
              <w:bottom w:val="nil"/>
              <w:right w:val="nil"/>
            </w:tcBorders>
            <w:shd w:val="clear" w:color="auto" w:fill="auto"/>
            <w:noWrap/>
            <w:vAlign w:val="bottom"/>
            <w:hideMark/>
          </w:tcPr>
          <w:p w14:paraId="07D7D52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(0.036)</w:t>
            </w:r>
          </w:p>
        </w:tc>
        <w:tc>
          <w:tcPr>
            <w:tcW w:w="0" w:type="auto"/>
            <w:tcBorders>
              <w:top w:val="nil"/>
              <w:left w:val="nil"/>
              <w:bottom w:val="nil"/>
              <w:right w:val="nil"/>
            </w:tcBorders>
            <w:shd w:val="clear" w:color="auto" w:fill="auto"/>
            <w:noWrap/>
            <w:vAlign w:val="bottom"/>
            <w:hideMark/>
          </w:tcPr>
          <w:p w14:paraId="7E1811D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(0.039)</w:t>
            </w:r>
          </w:p>
        </w:tc>
        <w:tc>
          <w:tcPr>
            <w:tcW w:w="0" w:type="auto"/>
            <w:tcBorders>
              <w:top w:val="nil"/>
              <w:left w:val="nil"/>
              <w:bottom w:val="nil"/>
              <w:right w:val="nil"/>
            </w:tcBorders>
            <w:shd w:val="clear" w:color="auto" w:fill="auto"/>
            <w:noWrap/>
            <w:vAlign w:val="bottom"/>
            <w:hideMark/>
          </w:tcPr>
          <w:p w14:paraId="7C71C13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(0.043)</w:t>
            </w:r>
          </w:p>
        </w:tc>
        <w:tc>
          <w:tcPr>
            <w:tcW w:w="1614" w:type="dxa"/>
            <w:tcBorders>
              <w:top w:val="nil"/>
              <w:left w:val="nil"/>
              <w:bottom w:val="nil"/>
              <w:right w:val="nil"/>
            </w:tcBorders>
            <w:shd w:val="clear" w:color="auto" w:fill="auto"/>
            <w:noWrap/>
            <w:vAlign w:val="bottom"/>
            <w:hideMark/>
          </w:tcPr>
          <w:p w14:paraId="330F5AD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(0.236)</w:t>
            </w:r>
          </w:p>
        </w:tc>
      </w:tr>
      <w:tr w:rsidR="00145CBF" w:rsidRPr="00145CBF" w14:paraId="63916ED5" w14:textId="77777777" w:rsidTr="00145CBF">
        <w:trPr>
          <w:trHeight w:val="280"/>
        </w:trPr>
        <w:tc>
          <w:tcPr>
            <w:tcW w:w="0" w:type="auto"/>
            <w:tcBorders>
              <w:top w:val="nil"/>
              <w:left w:val="nil"/>
              <w:bottom w:val="nil"/>
              <w:right w:val="nil"/>
            </w:tcBorders>
            <w:shd w:val="clear" w:color="auto" w:fill="auto"/>
            <w:noWrap/>
            <w:vAlign w:val="bottom"/>
            <w:hideMark/>
          </w:tcPr>
          <w:p w14:paraId="3AFB0A97" w14:textId="6350AF5C" w:rsidR="00145CBF" w:rsidRPr="00145CBF" w:rsidRDefault="00145CBF" w:rsidP="00145CBF">
            <w:pPr>
              <w:rPr>
                <w:rFonts w:ascii="Calibri" w:eastAsia="Times New Roman" w:hAnsi="Calibri" w:cs="Calibri"/>
                <w:sz w:val="20"/>
                <w:szCs w:val="20"/>
              </w:rPr>
            </w:pPr>
            <w:proofErr w:type="spellStart"/>
            <w:r>
              <w:rPr>
                <w:rFonts w:ascii="Calibri" w:eastAsia="Times New Roman" w:hAnsi="Calibri" w:cs="Calibri"/>
                <w:sz w:val="20"/>
                <w:szCs w:val="20"/>
              </w:rPr>
              <w:t>days_elapsed</w:t>
            </w:r>
            <w:proofErr w:type="spellEnd"/>
          </w:p>
        </w:tc>
        <w:tc>
          <w:tcPr>
            <w:tcW w:w="0" w:type="auto"/>
            <w:tcBorders>
              <w:top w:val="nil"/>
              <w:left w:val="nil"/>
              <w:bottom w:val="nil"/>
              <w:right w:val="nil"/>
            </w:tcBorders>
            <w:shd w:val="clear" w:color="auto" w:fill="auto"/>
            <w:noWrap/>
            <w:vAlign w:val="bottom"/>
            <w:hideMark/>
          </w:tcPr>
          <w:p w14:paraId="4BD2196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0.066</w:t>
            </w:r>
          </w:p>
        </w:tc>
        <w:tc>
          <w:tcPr>
            <w:tcW w:w="0" w:type="auto"/>
            <w:tcBorders>
              <w:top w:val="nil"/>
              <w:left w:val="nil"/>
              <w:bottom w:val="nil"/>
              <w:right w:val="nil"/>
            </w:tcBorders>
            <w:shd w:val="clear" w:color="auto" w:fill="auto"/>
            <w:noWrap/>
            <w:vAlign w:val="bottom"/>
            <w:hideMark/>
          </w:tcPr>
          <w:p w14:paraId="5625300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0.041</w:t>
            </w:r>
          </w:p>
        </w:tc>
        <w:tc>
          <w:tcPr>
            <w:tcW w:w="0" w:type="auto"/>
            <w:tcBorders>
              <w:top w:val="nil"/>
              <w:left w:val="nil"/>
              <w:bottom w:val="nil"/>
              <w:right w:val="nil"/>
            </w:tcBorders>
            <w:shd w:val="clear" w:color="auto" w:fill="auto"/>
            <w:noWrap/>
            <w:vAlign w:val="bottom"/>
            <w:hideMark/>
          </w:tcPr>
          <w:p w14:paraId="6BB04B7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0.100</w:t>
            </w:r>
          </w:p>
        </w:tc>
        <w:tc>
          <w:tcPr>
            <w:tcW w:w="0" w:type="auto"/>
            <w:tcBorders>
              <w:top w:val="nil"/>
              <w:left w:val="nil"/>
              <w:bottom w:val="nil"/>
              <w:right w:val="nil"/>
            </w:tcBorders>
            <w:shd w:val="clear" w:color="auto" w:fill="auto"/>
            <w:noWrap/>
            <w:vAlign w:val="bottom"/>
            <w:hideMark/>
          </w:tcPr>
          <w:p w14:paraId="654B122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-0.010</w:t>
            </w:r>
          </w:p>
        </w:tc>
        <w:tc>
          <w:tcPr>
            <w:tcW w:w="0" w:type="auto"/>
            <w:tcBorders>
              <w:top w:val="nil"/>
              <w:left w:val="nil"/>
              <w:bottom w:val="nil"/>
              <w:right w:val="nil"/>
            </w:tcBorders>
            <w:shd w:val="clear" w:color="auto" w:fill="auto"/>
            <w:noWrap/>
            <w:vAlign w:val="bottom"/>
            <w:hideMark/>
          </w:tcPr>
          <w:p w14:paraId="0C0455C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0.080</w:t>
            </w:r>
          </w:p>
        </w:tc>
        <w:tc>
          <w:tcPr>
            <w:tcW w:w="1614" w:type="dxa"/>
            <w:tcBorders>
              <w:top w:val="nil"/>
              <w:left w:val="nil"/>
              <w:bottom w:val="nil"/>
              <w:right w:val="nil"/>
            </w:tcBorders>
            <w:shd w:val="clear" w:color="auto" w:fill="auto"/>
            <w:noWrap/>
            <w:vAlign w:val="bottom"/>
            <w:hideMark/>
          </w:tcPr>
          <w:p w14:paraId="1D5BBDE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0.066</w:t>
            </w:r>
          </w:p>
        </w:tc>
      </w:tr>
      <w:tr w:rsidR="00145CBF" w:rsidRPr="00145CBF" w14:paraId="0B8567C6" w14:textId="77777777" w:rsidTr="00145CBF">
        <w:trPr>
          <w:trHeight w:val="280"/>
        </w:trPr>
        <w:tc>
          <w:tcPr>
            <w:tcW w:w="0" w:type="auto"/>
            <w:tcBorders>
              <w:top w:val="nil"/>
              <w:left w:val="nil"/>
              <w:bottom w:val="nil"/>
              <w:right w:val="nil"/>
            </w:tcBorders>
            <w:shd w:val="clear" w:color="auto" w:fill="auto"/>
            <w:noWrap/>
            <w:vAlign w:val="bottom"/>
            <w:hideMark/>
          </w:tcPr>
          <w:p w14:paraId="5D55BD64"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3D4F814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(0.365)</w:t>
            </w:r>
          </w:p>
        </w:tc>
        <w:tc>
          <w:tcPr>
            <w:tcW w:w="0" w:type="auto"/>
            <w:tcBorders>
              <w:top w:val="nil"/>
              <w:left w:val="nil"/>
              <w:bottom w:val="nil"/>
              <w:right w:val="nil"/>
            </w:tcBorders>
            <w:shd w:val="clear" w:color="auto" w:fill="auto"/>
            <w:noWrap/>
            <w:vAlign w:val="bottom"/>
            <w:hideMark/>
          </w:tcPr>
          <w:p w14:paraId="2E1EE2A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(0.135)</w:t>
            </w:r>
          </w:p>
        </w:tc>
        <w:tc>
          <w:tcPr>
            <w:tcW w:w="0" w:type="auto"/>
            <w:tcBorders>
              <w:top w:val="nil"/>
              <w:left w:val="nil"/>
              <w:bottom w:val="nil"/>
              <w:right w:val="nil"/>
            </w:tcBorders>
            <w:shd w:val="clear" w:color="auto" w:fill="auto"/>
            <w:noWrap/>
            <w:vAlign w:val="bottom"/>
            <w:hideMark/>
          </w:tcPr>
          <w:p w14:paraId="71EAB99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(0.118)</w:t>
            </w:r>
          </w:p>
        </w:tc>
        <w:tc>
          <w:tcPr>
            <w:tcW w:w="0" w:type="auto"/>
            <w:tcBorders>
              <w:top w:val="nil"/>
              <w:left w:val="nil"/>
              <w:bottom w:val="nil"/>
              <w:right w:val="nil"/>
            </w:tcBorders>
            <w:shd w:val="clear" w:color="auto" w:fill="auto"/>
            <w:noWrap/>
            <w:vAlign w:val="bottom"/>
            <w:hideMark/>
          </w:tcPr>
          <w:p w14:paraId="54DE151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(0.118)</w:t>
            </w:r>
          </w:p>
        </w:tc>
        <w:tc>
          <w:tcPr>
            <w:tcW w:w="0" w:type="auto"/>
            <w:tcBorders>
              <w:top w:val="nil"/>
              <w:left w:val="nil"/>
              <w:bottom w:val="nil"/>
              <w:right w:val="nil"/>
            </w:tcBorders>
            <w:shd w:val="clear" w:color="auto" w:fill="auto"/>
            <w:noWrap/>
            <w:vAlign w:val="bottom"/>
            <w:hideMark/>
          </w:tcPr>
          <w:p w14:paraId="66DCFC2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(0.121)</w:t>
            </w:r>
          </w:p>
        </w:tc>
        <w:tc>
          <w:tcPr>
            <w:tcW w:w="1614" w:type="dxa"/>
            <w:tcBorders>
              <w:top w:val="nil"/>
              <w:left w:val="nil"/>
              <w:bottom w:val="nil"/>
              <w:right w:val="nil"/>
            </w:tcBorders>
            <w:shd w:val="clear" w:color="auto" w:fill="auto"/>
            <w:noWrap/>
            <w:vAlign w:val="bottom"/>
            <w:hideMark/>
          </w:tcPr>
          <w:p w14:paraId="46C1953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(0.365)</w:t>
            </w:r>
          </w:p>
        </w:tc>
      </w:tr>
      <w:tr w:rsidR="00145CBF" w:rsidRPr="00145CBF" w14:paraId="1A1EA93F" w14:textId="77777777" w:rsidTr="00145CBF">
        <w:trPr>
          <w:trHeight w:val="280"/>
        </w:trPr>
        <w:tc>
          <w:tcPr>
            <w:tcW w:w="0" w:type="auto"/>
            <w:tcBorders>
              <w:top w:val="nil"/>
              <w:left w:val="nil"/>
              <w:bottom w:val="nil"/>
              <w:right w:val="nil"/>
            </w:tcBorders>
            <w:shd w:val="clear" w:color="auto" w:fill="auto"/>
            <w:noWrap/>
            <w:vAlign w:val="bottom"/>
            <w:hideMark/>
          </w:tcPr>
          <w:p w14:paraId="17EACAC8" w14:textId="399A5E3D" w:rsidR="00145CBF" w:rsidRPr="00145CBF" w:rsidRDefault="00145CBF" w:rsidP="00145CBF">
            <w:pPr>
              <w:rPr>
                <w:rFonts w:ascii="Calibri" w:eastAsia="Times New Roman" w:hAnsi="Calibri" w:cs="Calibri"/>
                <w:sz w:val="20"/>
                <w:szCs w:val="20"/>
              </w:rPr>
            </w:pPr>
            <w:proofErr w:type="spellStart"/>
            <w:r>
              <w:rPr>
                <w:rFonts w:ascii="Calibri" w:eastAsia="Times New Roman" w:hAnsi="Calibri" w:cs="Calibri"/>
                <w:sz w:val="20"/>
                <w:szCs w:val="20"/>
              </w:rPr>
              <w:t>days_elapsed_sq</w:t>
            </w:r>
            <w:proofErr w:type="spellEnd"/>
          </w:p>
        </w:tc>
        <w:tc>
          <w:tcPr>
            <w:tcW w:w="0" w:type="auto"/>
            <w:tcBorders>
              <w:top w:val="nil"/>
              <w:left w:val="nil"/>
              <w:bottom w:val="nil"/>
              <w:right w:val="nil"/>
            </w:tcBorders>
            <w:shd w:val="clear" w:color="auto" w:fill="auto"/>
            <w:noWrap/>
            <w:vAlign w:val="bottom"/>
            <w:hideMark/>
          </w:tcPr>
          <w:p w14:paraId="257228C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0.007***</w:t>
            </w:r>
          </w:p>
        </w:tc>
        <w:tc>
          <w:tcPr>
            <w:tcW w:w="0" w:type="auto"/>
            <w:tcBorders>
              <w:top w:val="nil"/>
              <w:left w:val="nil"/>
              <w:bottom w:val="nil"/>
              <w:right w:val="nil"/>
            </w:tcBorders>
            <w:shd w:val="clear" w:color="auto" w:fill="auto"/>
            <w:noWrap/>
            <w:vAlign w:val="bottom"/>
            <w:hideMark/>
          </w:tcPr>
          <w:p w14:paraId="279451F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001A00A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00979A7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530D05D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-0.001</w:t>
            </w:r>
          </w:p>
        </w:tc>
        <w:tc>
          <w:tcPr>
            <w:tcW w:w="1614" w:type="dxa"/>
            <w:tcBorders>
              <w:top w:val="nil"/>
              <w:left w:val="nil"/>
              <w:bottom w:val="nil"/>
              <w:right w:val="nil"/>
            </w:tcBorders>
            <w:shd w:val="clear" w:color="auto" w:fill="auto"/>
            <w:noWrap/>
            <w:vAlign w:val="bottom"/>
            <w:hideMark/>
          </w:tcPr>
          <w:p w14:paraId="35A51B8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0.007***</w:t>
            </w:r>
          </w:p>
        </w:tc>
      </w:tr>
      <w:tr w:rsidR="00145CBF" w:rsidRPr="00145CBF" w14:paraId="63C5DBC6" w14:textId="77777777" w:rsidTr="00145CBF">
        <w:trPr>
          <w:trHeight w:val="280"/>
        </w:trPr>
        <w:tc>
          <w:tcPr>
            <w:tcW w:w="0" w:type="auto"/>
            <w:tcBorders>
              <w:top w:val="nil"/>
              <w:left w:val="nil"/>
              <w:bottom w:val="nil"/>
              <w:right w:val="nil"/>
            </w:tcBorders>
            <w:shd w:val="clear" w:color="auto" w:fill="auto"/>
            <w:noWrap/>
            <w:vAlign w:val="bottom"/>
            <w:hideMark/>
          </w:tcPr>
          <w:p w14:paraId="254F9222"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78A5D75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(0.002)</w:t>
            </w:r>
          </w:p>
        </w:tc>
        <w:tc>
          <w:tcPr>
            <w:tcW w:w="0" w:type="auto"/>
            <w:tcBorders>
              <w:top w:val="nil"/>
              <w:left w:val="nil"/>
              <w:bottom w:val="nil"/>
              <w:right w:val="nil"/>
            </w:tcBorders>
            <w:shd w:val="clear" w:color="auto" w:fill="auto"/>
            <w:noWrap/>
            <w:vAlign w:val="bottom"/>
            <w:hideMark/>
          </w:tcPr>
          <w:p w14:paraId="0D42751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49933A4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30300C8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(0.001)</w:t>
            </w:r>
          </w:p>
        </w:tc>
        <w:tc>
          <w:tcPr>
            <w:tcW w:w="0" w:type="auto"/>
            <w:tcBorders>
              <w:top w:val="nil"/>
              <w:left w:val="nil"/>
              <w:bottom w:val="nil"/>
              <w:right w:val="nil"/>
            </w:tcBorders>
            <w:shd w:val="clear" w:color="auto" w:fill="auto"/>
            <w:noWrap/>
            <w:vAlign w:val="bottom"/>
            <w:hideMark/>
          </w:tcPr>
          <w:p w14:paraId="3E5DD3F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(0.001)</w:t>
            </w:r>
          </w:p>
        </w:tc>
        <w:tc>
          <w:tcPr>
            <w:tcW w:w="1614" w:type="dxa"/>
            <w:tcBorders>
              <w:top w:val="nil"/>
              <w:left w:val="nil"/>
              <w:bottom w:val="nil"/>
              <w:right w:val="nil"/>
            </w:tcBorders>
            <w:shd w:val="clear" w:color="auto" w:fill="auto"/>
            <w:noWrap/>
            <w:vAlign w:val="bottom"/>
            <w:hideMark/>
          </w:tcPr>
          <w:p w14:paraId="309874C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(0.002)</w:t>
            </w:r>
          </w:p>
        </w:tc>
      </w:tr>
      <w:tr w:rsidR="00145CBF" w:rsidRPr="00145CBF" w14:paraId="2676BFA7" w14:textId="77777777" w:rsidTr="00145CBF">
        <w:trPr>
          <w:trHeight w:val="280"/>
        </w:trPr>
        <w:tc>
          <w:tcPr>
            <w:tcW w:w="0" w:type="auto"/>
            <w:tcBorders>
              <w:top w:val="nil"/>
              <w:left w:val="nil"/>
              <w:bottom w:val="nil"/>
              <w:right w:val="nil"/>
            </w:tcBorders>
            <w:shd w:val="clear" w:color="auto" w:fill="auto"/>
            <w:noWrap/>
            <w:vAlign w:val="bottom"/>
            <w:hideMark/>
          </w:tcPr>
          <w:p w14:paraId="388D2C12" w14:textId="77777777" w:rsidR="00145CBF" w:rsidRPr="00145CBF" w:rsidRDefault="00145CBF" w:rsidP="00145CBF">
            <w:pPr>
              <w:rPr>
                <w:rFonts w:ascii="Calibri" w:eastAsia="Times New Roman" w:hAnsi="Calibri" w:cs="Calibri"/>
                <w:sz w:val="20"/>
                <w:szCs w:val="20"/>
              </w:rPr>
            </w:pPr>
            <w:proofErr w:type="spellStart"/>
            <w:r w:rsidRPr="00145CBF">
              <w:rPr>
                <w:rFonts w:ascii="Calibri" w:eastAsia="Times New Roman" w:hAnsi="Calibri" w:cs="Calibri"/>
                <w:sz w:val="20"/>
                <w:szCs w:val="20"/>
              </w:rPr>
              <w:t>lnnew_cases_per_mln</w:t>
            </w:r>
            <w:proofErr w:type="spellEnd"/>
          </w:p>
        </w:tc>
        <w:tc>
          <w:tcPr>
            <w:tcW w:w="0" w:type="auto"/>
            <w:tcBorders>
              <w:top w:val="nil"/>
              <w:left w:val="nil"/>
              <w:bottom w:val="nil"/>
              <w:right w:val="nil"/>
            </w:tcBorders>
            <w:shd w:val="clear" w:color="auto" w:fill="auto"/>
            <w:noWrap/>
            <w:vAlign w:val="bottom"/>
            <w:hideMark/>
          </w:tcPr>
          <w:p w14:paraId="1AE0930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-1.978</w:t>
            </w:r>
          </w:p>
        </w:tc>
        <w:tc>
          <w:tcPr>
            <w:tcW w:w="0" w:type="auto"/>
            <w:tcBorders>
              <w:top w:val="nil"/>
              <w:left w:val="nil"/>
              <w:bottom w:val="nil"/>
              <w:right w:val="nil"/>
            </w:tcBorders>
            <w:shd w:val="clear" w:color="auto" w:fill="auto"/>
            <w:noWrap/>
            <w:vAlign w:val="bottom"/>
            <w:hideMark/>
          </w:tcPr>
          <w:p w14:paraId="3474F08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-2.114***</w:t>
            </w:r>
          </w:p>
        </w:tc>
        <w:tc>
          <w:tcPr>
            <w:tcW w:w="0" w:type="auto"/>
            <w:tcBorders>
              <w:top w:val="nil"/>
              <w:left w:val="nil"/>
              <w:bottom w:val="nil"/>
              <w:right w:val="nil"/>
            </w:tcBorders>
            <w:shd w:val="clear" w:color="auto" w:fill="auto"/>
            <w:noWrap/>
            <w:vAlign w:val="bottom"/>
            <w:hideMark/>
          </w:tcPr>
          <w:p w14:paraId="053CFA8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-1.000**</w:t>
            </w:r>
          </w:p>
        </w:tc>
        <w:tc>
          <w:tcPr>
            <w:tcW w:w="0" w:type="auto"/>
            <w:tcBorders>
              <w:top w:val="nil"/>
              <w:left w:val="nil"/>
              <w:bottom w:val="nil"/>
              <w:right w:val="nil"/>
            </w:tcBorders>
            <w:shd w:val="clear" w:color="auto" w:fill="auto"/>
            <w:noWrap/>
            <w:vAlign w:val="bottom"/>
            <w:hideMark/>
          </w:tcPr>
          <w:p w14:paraId="0F632A4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-2.321***</w:t>
            </w:r>
          </w:p>
        </w:tc>
        <w:tc>
          <w:tcPr>
            <w:tcW w:w="0" w:type="auto"/>
            <w:tcBorders>
              <w:top w:val="nil"/>
              <w:left w:val="nil"/>
              <w:bottom w:val="nil"/>
              <w:right w:val="nil"/>
            </w:tcBorders>
            <w:shd w:val="clear" w:color="auto" w:fill="auto"/>
            <w:noWrap/>
            <w:vAlign w:val="bottom"/>
            <w:hideMark/>
          </w:tcPr>
          <w:p w14:paraId="6A5A234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-2.584***</w:t>
            </w:r>
          </w:p>
        </w:tc>
        <w:tc>
          <w:tcPr>
            <w:tcW w:w="1614" w:type="dxa"/>
            <w:tcBorders>
              <w:top w:val="nil"/>
              <w:left w:val="nil"/>
              <w:bottom w:val="nil"/>
              <w:right w:val="nil"/>
            </w:tcBorders>
            <w:shd w:val="clear" w:color="auto" w:fill="auto"/>
            <w:noWrap/>
            <w:vAlign w:val="bottom"/>
            <w:hideMark/>
          </w:tcPr>
          <w:p w14:paraId="1F088F8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-1.978</w:t>
            </w:r>
          </w:p>
        </w:tc>
      </w:tr>
      <w:tr w:rsidR="00145CBF" w:rsidRPr="00145CBF" w14:paraId="6B50F452" w14:textId="77777777" w:rsidTr="00145CBF">
        <w:trPr>
          <w:trHeight w:val="280"/>
        </w:trPr>
        <w:tc>
          <w:tcPr>
            <w:tcW w:w="0" w:type="auto"/>
            <w:tcBorders>
              <w:top w:val="nil"/>
              <w:left w:val="nil"/>
              <w:bottom w:val="nil"/>
              <w:right w:val="nil"/>
            </w:tcBorders>
            <w:shd w:val="clear" w:color="auto" w:fill="auto"/>
            <w:noWrap/>
            <w:vAlign w:val="bottom"/>
            <w:hideMark/>
          </w:tcPr>
          <w:p w14:paraId="34A33772"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7492D8B8"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(1.523)</w:t>
            </w:r>
          </w:p>
        </w:tc>
        <w:tc>
          <w:tcPr>
            <w:tcW w:w="0" w:type="auto"/>
            <w:tcBorders>
              <w:top w:val="nil"/>
              <w:left w:val="nil"/>
              <w:bottom w:val="nil"/>
              <w:right w:val="nil"/>
            </w:tcBorders>
            <w:shd w:val="clear" w:color="auto" w:fill="auto"/>
            <w:noWrap/>
            <w:vAlign w:val="bottom"/>
            <w:hideMark/>
          </w:tcPr>
          <w:p w14:paraId="4090EF8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(0.510)</w:t>
            </w:r>
          </w:p>
        </w:tc>
        <w:tc>
          <w:tcPr>
            <w:tcW w:w="0" w:type="auto"/>
            <w:tcBorders>
              <w:top w:val="nil"/>
              <w:left w:val="nil"/>
              <w:bottom w:val="nil"/>
              <w:right w:val="nil"/>
            </w:tcBorders>
            <w:shd w:val="clear" w:color="auto" w:fill="auto"/>
            <w:noWrap/>
            <w:vAlign w:val="bottom"/>
            <w:hideMark/>
          </w:tcPr>
          <w:p w14:paraId="1342AC7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(0.430)</w:t>
            </w:r>
          </w:p>
        </w:tc>
        <w:tc>
          <w:tcPr>
            <w:tcW w:w="0" w:type="auto"/>
            <w:tcBorders>
              <w:top w:val="nil"/>
              <w:left w:val="nil"/>
              <w:bottom w:val="nil"/>
              <w:right w:val="nil"/>
            </w:tcBorders>
            <w:shd w:val="clear" w:color="auto" w:fill="auto"/>
            <w:noWrap/>
            <w:vAlign w:val="bottom"/>
            <w:hideMark/>
          </w:tcPr>
          <w:p w14:paraId="7FE0476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(0.486)</w:t>
            </w:r>
          </w:p>
        </w:tc>
        <w:tc>
          <w:tcPr>
            <w:tcW w:w="0" w:type="auto"/>
            <w:tcBorders>
              <w:top w:val="nil"/>
              <w:left w:val="nil"/>
              <w:bottom w:val="nil"/>
              <w:right w:val="nil"/>
            </w:tcBorders>
            <w:shd w:val="clear" w:color="auto" w:fill="auto"/>
            <w:noWrap/>
            <w:vAlign w:val="bottom"/>
            <w:hideMark/>
          </w:tcPr>
          <w:p w14:paraId="5A20D86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(0.547)</w:t>
            </w:r>
          </w:p>
        </w:tc>
        <w:tc>
          <w:tcPr>
            <w:tcW w:w="1614" w:type="dxa"/>
            <w:tcBorders>
              <w:top w:val="nil"/>
              <w:left w:val="nil"/>
              <w:bottom w:val="nil"/>
              <w:right w:val="nil"/>
            </w:tcBorders>
            <w:shd w:val="clear" w:color="auto" w:fill="auto"/>
            <w:noWrap/>
            <w:vAlign w:val="bottom"/>
            <w:hideMark/>
          </w:tcPr>
          <w:p w14:paraId="391B672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(1.523)</w:t>
            </w:r>
          </w:p>
        </w:tc>
      </w:tr>
      <w:tr w:rsidR="00145CBF" w:rsidRPr="00145CBF" w14:paraId="7E45E67C" w14:textId="77777777" w:rsidTr="00145CBF">
        <w:trPr>
          <w:trHeight w:val="280"/>
        </w:trPr>
        <w:tc>
          <w:tcPr>
            <w:tcW w:w="0" w:type="auto"/>
            <w:tcBorders>
              <w:top w:val="nil"/>
              <w:left w:val="nil"/>
              <w:bottom w:val="nil"/>
              <w:right w:val="nil"/>
            </w:tcBorders>
            <w:shd w:val="clear" w:color="auto" w:fill="auto"/>
            <w:noWrap/>
            <w:vAlign w:val="bottom"/>
            <w:hideMark/>
          </w:tcPr>
          <w:p w14:paraId="3FAD2479" w14:textId="77777777" w:rsidR="00145CBF" w:rsidRDefault="00145CBF" w:rsidP="00145CBF">
            <w:pPr>
              <w:rPr>
                <w:rFonts w:ascii="Calibri" w:eastAsia="Times New Roman" w:hAnsi="Calibri" w:cs="Calibri"/>
                <w:sz w:val="20"/>
                <w:szCs w:val="20"/>
              </w:rPr>
            </w:pPr>
            <w:proofErr w:type="spellStart"/>
            <w:r w:rsidRPr="00145CBF">
              <w:rPr>
                <w:rFonts w:ascii="Calibri" w:eastAsia="Times New Roman" w:hAnsi="Calibri" w:cs="Calibri"/>
                <w:sz w:val="20"/>
                <w:szCs w:val="20"/>
              </w:rPr>
              <w:t>lnnew_cases_per_mln</w:t>
            </w:r>
            <w:proofErr w:type="spellEnd"/>
            <w:r>
              <w:rPr>
                <w:rFonts w:ascii="Calibri" w:eastAsia="Times New Roman" w:hAnsi="Calibri" w:cs="Calibri"/>
                <w:sz w:val="20"/>
                <w:szCs w:val="20"/>
              </w:rPr>
              <w:t xml:space="preserve"> *</w:t>
            </w:r>
          </w:p>
          <w:p w14:paraId="1BB9CDA0" w14:textId="5A53AC56" w:rsidR="00145CBF" w:rsidRPr="00145CBF" w:rsidRDefault="00145CBF" w:rsidP="00145CBF">
            <w:pPr>
              <w:rPr>
                <w:rFonts w:ascii="Calibri" w:eastAsia="Times New Roman" w:hAnsi="Calibri" w:cs="Calibri"/>
                <w:sz w:val="20"/>
                <w:szCs w:val="20"/>
              </w:rPr>
            </w:pPr>
            <w:proofErr w:type="spellStart"/>
            <w:r>
              <w:rPr>
                <w:rFonts w:ascii="Calibri" w:eastAsia="Times New Roman" w:hAnsi="Calibri" w:cs="Calibri"/>
                <w:sz w:val="20"/>
                <w:szCs w:val="20"/>
              </w:rPr>
              <w:t>days_elapsed</w:t>
            </w:r>
            <w:proofErr w:type="spellEnd"/>
          </w:p>
        </w:tc>
        <w:tc>
          <w:tcPr>
            <w:tcW w:w="0" w:type="auto"/>
            <w:tcBorders>
              <w:top w:val="nil"/>
              <w:left w:val="nil"/>
              <w:bottom w:val="nil"/>
              <w:right w:val="nil"/>
            </w:tcBorders>
            <w:shd w:val="clear" w:color="auto" w:fill="auto"/>
            <w:noWrap/>
            <w:vAlign w:val="bottom"/>
            <w:hideMark/>
          </w:tcPr>
          <w:p w14:paraId="421232E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0.056</w:t>
            </w:r>
          </w:p>
        </w:tc>
        <w:tc>
          <w:tcPr>
            <w:tcW w:w="0" w:type="auto"/>
            <w:tcBorders>
              <w:top w:val="nil"/>
              <w:left w:val="nil"/>
              <w:bottom w:val="nil"/>
              <w:right w:val="nil"/>
            </w:tcBorders>
            <w:shd w:val="clear" w:color="auto" w:fill="auto"/>
            <w:noWrap/>
            <w:vAlign w:val="bottom"/>
            <w:hideMark/>
          </w:tcPr>
          <w:p w14:paraId="4F371E68"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0.038***</w:t>
            </w:r>
          </w:p>
        </w:tc>
        <w:tc>
          <w:tcPr>
            <w:tcW w:w="0" w:type="auto"/>
            <w:tcBorders>
              <w:top w:val="nil"/>
              <w:left w:val="nil"/>
              <w:bottom w:val="nil"/>
              <w:right w:val="nil"/>
            </w:tcBorders>
            <w:shd w:val="clear" w:color="auto" w:fill="auto"/>
            <w:noWrap/>
            <w:vAlign w:val="bottom"/>
            <w:hideMark/>
          </w:tcPr>
          <w:p w14:paraId="109663D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0.023**</w:t>
            </w:r>
          </w:p>
        </w:tc>
        <w:tc>
          <w:tcPr>
            <w:tcW w:w="0" w:type="auto"/>
            <w:tcBorders>
              <w:top w:val="nil"/>
              <w:left w:val="nil"/>
              <w:bottom w:val="nil"/>
              <w:right w:val="nil"/>
            </w:tcBorders>
            <w:shd w:val="clear" w:color="auto" w:fill="auto"/>
            <w:noWrap/>
            <w:vAlign w:val="bottom"/>
            <w:hideMark/>
          </w:tcPr>
          <w:p w14:paraId="7481ADD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0.048***</w:t>
            </w:r>
          </w:p>
        </w:tc>
        <w:tc>
          <w:tcPr>
            <w:tcW w:w="0" w:type="auto"/>
            <w:tcBorders>
              <w:top w:val="nil"/>
              <w:left w:val="nil"/>
              <w:bottom w:val="nil"/>
              <w:right w:val="nil"/>
            </w:tcBorders>
            <w:shd w:val="clear" w:color="auto" w:fill="auto"/>
            <w:noWrap/>
            <w:vAlign w:val="bottom"/>
            <w:hideMark/>
          </w:tcPr>
          <w:p w14:paraId="2DF7C0F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0.053***</w:t>
            </w:r>
          </w:p>
        </w:tc>
        <w:tc>
          <w:tcPr>
            <w:tcW w:w="1614" w:type="dxa"/>
            <w:tcBorders>
              <w:top w:val="nil"/>
              <w:left w:val="nil"/>
              <w:bottom w:val="nil"/>
              <w:right w:val="nil"/>
            </w:tcBorders>
            <w:shd w:val="clear" w:color="auto" w:fill="auto"/>
            <w:noWrap/>
            <w:vAlign w:val="bottom"/>
            <w:hideMark/>
          </w:tcPr>
          <w:p w14:paraId="14B1A64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0.056</w:t>
            </w:r>
          </w:p>
        </w:tc>
      </w:tr>
      <w:tr w:rsidR="00145CBF" w:rsidRPr="00145CBF" w14:paraId="0969C424" w14:textId="77777777" w:rsidTr="00145CBF">
        <w:trPr>
          <w:trHeight w:val="280"/>
        </w:trPr>
        <w:tc>
          <w:tcPr>
            <w:tcW w:w="0" w:type="auto"/>
            <w:tcBorders>
              <w:top w:val="nil"/>
              <w:left w:val="nil"/>
              <w:bottom w:val="nil"/>
              <w:right w:val="nil"/>
            </w:tcBorders>
            <w:shd w:val="clear" w:color="auto" w:fill="auto"/>
            <w:noWrap/>
            <w:vAlign w:val="bottom"/>
            <w:hideMark/>
          </w:tcPr>
          <w:p w14:paraId="5AA80F51"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7C60826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(0.037)</w:t>
            </w:r>
          </w:p>
        </w:tc>
        <w:tc>
          <w:tcPr>
            <w:tcW w:w="0" w:type="auto"/>
            <w:tcBorders>
              <w:top w:val="nil"/>
              <w:left w:val="nil"/>
              <w:bottom w:val="nil"/>
              <w:right w:val="nil"/>
            </w:tcBorders>
            <w:shd w:val="clear" w:color="auto" w:fill="auto"/>
            <w:noWrap/>
            <w:vAlign w:val="bottom"/>
            <w:hideMark/>
          </w:tcPr>
          <w:p w14:paraId="1D77531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(0.011)</w:t>
            </w:r>
          </w:p>
        </w:tc>
        <w:tc>
          <w:tcPr>
            <w:tcW w:w="0" w:type="auto"/>
            <w:tcBorders>
              <w:top w:val="nil"/>
              <w:left w:val="nil"/>
              <w:bottom w:val="nil"/>
              <w:right w:val="nil"/>
            </w:tcBorders>
            <w:shd w:val="clear" w:color="auto" w:fill="auto"/>
            <w:noWrap/>
            <w:vAlign w:val="bottom"/>
            <w:hideMark/>
          </w:tcPr>
          <w:p w14:paraId="05BAFFC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(0.009)</w:t>
            </w:r>
          </w:p>
        </w:tc>
        <w:tc>
          <w:tcPr>
            <w:tcW w:w="0" w:type="auto"/>
            <w:tcBorders>
              <w:top w:val="nil"/>
              <w:left w:val="nil"/>
              <w:bottom w:val="nil"/>
              <w:right w:val="nil"/>
            </w:tcBorders>
            <w:shd w:val="clear" w:color="auto" w:fill="auto"/>
            <w:noWrap/>
            <w:vAlign w:val="bottom"/>
            <w:hideMark/>
          </w:tcPr>
          <w:p w14:paraId="71F45DF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(0.011)</w:t>
            </w:r>
          </w:p>
        </w:tc>
        <w:tc>
          <w:tcPr>
            <w:tcW w:w="0" w:type="auto"/>
            <w:tcBorders>
              <w:top w:val="nil"/>
              <w:left w:val="nil"/>
              <w:bottom w:val="nil"/>
              <w:right w:val="nil"/>
            </w:tcBorders>
            <w:shd w:val="clear" w:color="auto" w:fill="auto"/>
            <w:noWrap/>
            <w:vAlign w:val="bottom"/>
            <w:hideMark/>
          </w:tcPr>
          <w:p w14:paraId="46C6E98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(0.013)</w:t>
            </w:r>
          </w:p>
        </w:tc>
        <w:tc>
          <w:tcPr>
            <w:tcW w:w="1614" w:type="dxa"/>
            <w:tcBorders>
              <w:top w:val="nil"/>
              <w:left w:val="nil"/>
              <w:bottom w:val="nil"/>
              <w:right w:val="nil"/>
            </w:tcBorders>
            <w:shd w:val="clear" w:color="auto" w:fill="auto"/>
            <w:noWrap/>
            <w:vAlign w:val="bottom"/>
            <w:hideMark/>
          </w:tcPr>
          <w:p w14:paraId="57F9136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(0.037)</w:t>
            </w:r>
          </w:p>
        </w:tc>
      </w:tr>
      <w:tr w:rsidR="00145CBF" w:rsidRPr="00145CBF" w14:paraId="63D97FAA" w14:textId="77777777" w:rsidTr="00145CBF">
        <w:trPr>
          <w:trHeight w:val="280"/>
        </w:trPr>
        <w:tc>
          <w:tcPr>
            <w:tcW w:w="0" w:type="auto"/>
            <w:tcBorders>
              <w:top w:val="nil"/>
              <w:left w:val="nil"/>
              <w:bottom w:val="nil"/>
              <w:right w:val="nil"/>
            </w:tcBorders>
            <w:shd w:val="clear" w:color="auto" w:fill="auto"/>
            <w:noWrap/>
            <w:vAlign w:val="bottom"/>
            <w:hideMark/>
          </w:tcPr>
          <w:p w14:paraId="23A12FF7" w14:textId="77777777" w:rsidR="00145CBF" w:rsidRDefault="00145CBF" w:rsidP="00145CBF">
            <w:pPr>
              <w:rPr>
                <w:rFonts w:ascii="Calibri" w:eastAsia="Times New Roman" w:hAnsi="Calibri" w:cs="Calibri"/>
                <w:sz w:val="20"/>
                <w:szCs w:val="20"/>
              </w:rPr>
            </w:pPr>
            <w:proofErr w:type="spellStart"/>
            <w:r w:rsidRPr="00145CBF">
              <w:rPr>
                <w:rFonts w:ascii="Calibri" w:eastAsia="Times New Roman" w:hAnsi="Calibri" w:cs="Calibri"/>
                <w:sz w:val="20"/>
                <w:szCs w:val="20"/>
              </w:rPr>
              <w:t>lnnew_cases_per_mln</w:t>
            </w:r>
            <w:proofErr w:type="spellEnd"/>
            <w:r>
              <w:rPr>
                <w:rFonts w:ascii="Calibri" w:eastAsia="Times New Roman" w:hAnsi="Calibri" w:cs="Calibri"/>
                <w:sz w:val="20"/>
                <w:szCs w:val="20"/>
              </w:rPr>
              <w:t xml:space="preserve"> *</w:t>
            </w:r>
          </w:p>
          <w:p w14:paraId="39964044" w14:textId="3DF058B2" w:rsidR="00145CBF" w:rsidRPr="00145CBF" w:rsidRDefault="00145CBF" w:rsidP="00145CBF">
            <w:pPr>
              <w:rPr>
                <w:rFonts w:ascii="Calibri" w:eastAsia="Times New Roman" w:hAnsi="Calibri" w:cs="Calibri"/>
                <w:sz w:val="20"/>
                <w:szCs w:val="20"/>
              </w:rPr>
            </w:pPr>
            <w:proofErr w:type="spellStart"/>
            <w:r>
              <w:rPr>
                <w:rFonts w:ascii="Calibri" w:eastAsia="Times New Roman" w:hAnsi="Calibri" w:cs="Calibri"/>
                <w:sz w:val="20"/>
                <w:szCs w:val="20"/>
              </w:rPr>
              <w:t>days_elapsed_sq</w:t>
            </w:r>
            <w:proofErr w:type="spellEnd"/>
          </w:p>
        </w:tc>
        <w:tc>
          <w:tcPr>
            <w:tcW w:w="0" w:type="auto"/>
            <w:tcBorders>
              <w:top w:val="nil"/>
              <w:left w:val="nil"/>
              <w:bottom w:val="nil"/>
              <w:right w:val="nil"/>
            </w:tcBorders>
            <w:shd w:val="clear" w:color="auto" w:fill="auto"/>
            <w:noWrap/>
            <w:vAlign w:val="bottom"/>
            <w:hideMark/>
          </w:tcPr>
          <w:p w14:paraId="542C4A7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4231A84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0612492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068BF81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42BA3FC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1614" w:type="dxa"/>
            <w:tcBorders>
              <w:top w:val="nil"/>
              <w:left w:val="nil"/>
              <w:bottom w:val="nil"/>
              <w:right w:val="nil"/>
            </w:tcBorders>
            <w:shd w:val="clear" w:color="auto" w:fill="auto"/>
            <w:noWrap/>
            <w:vAlign w:val="bottom"/>
            <w:hideMark/>
          </w:tcPr>
          <w:p w14:paraId="7E2EC8C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r>
      <w:tr w:rsidR="00145CBF" w:rsidRPr="00145CBF" w14:paraId="415CE659" w14:textId="77777777" w:rsidTr="00145CBF">
        <w:trPr>
          <w:trHeight w:val="280"/>
        </w:trPr>
        <w:tc>
          <w:tcPr>
            <w:tcW w:w="0" w:type="auto"/>
            <w:tcBorders>
              <w:top w:val="nil"/>
              <w:left w:val="nil"/>
              <w:bottom w:val="nil"/>
              <w:right w:val="nil"/>
            </w:tcBorders>
            <w:shd w:val="clear" w:color="auto" w:fill="auto"/>
            <w:noWrap/>
            <w:vAlign w:val="bottom"/>
            <w:hideMark/>
          </w:tcPr>
          <w:p w14:paraId="2A0382E3"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3C1080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7F5E761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65E475D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0889A92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0" w:type="auto"/>
            <w:tcBorders>
              <w:top w:val="nil"/>
              <w:left w:val="nil"/>
              <w:bottom w:val="nil"/>
              <w:right w:val="nil"/>
            </w:tcBorders>
            <w:shd w:val="clear" w:color="auto" w:fill="auto"/>
            <w:noWrap/>
            <w:vAlign w:val="bottom"/>
            <w:hideMark/>
          </w:tcPr>
          <w:p w14:paraId="2429F94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c>
          <w:tcPr>
            <w:tcW w:w="1614" w:type="dxa"/>
            <w:tcBorders>
              <w:top w:val="nil"/>
              <w:left w:val="nil"/>
              <w:bottom w:val="nil"/>
              <w:right w:val="nil"/>
            </w:tcBorders>
            <w:shd w:val="clear" w:color="auto" w:fill="auto"/>
            <w:noWrap/>
            <w:vAlign w:val="bottom"/>
            <w:hideMark/>
          </w:tcPr>
          <w:p w14:paraId="794E068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(0.000)</w:t>
            </w:r>
          </w:p>
        </w:tc>
      </w:tr>
      <w:tr w:rsidR="00145CBF" w:rsidRPr="00145CBF" w14:paraId="508FABFB" w14:textId="77777777" w:rsidTr="00145CBF">
        <w:trPr>
          <w:trHeight w:val="280"/>
        </w:trPr>
        <w:tc>
          <w:tcPr>
            <w:tcW w:w="0" w:type="auto"/>
            <w:tcBorders>
              <w:top w:val="nil"/>
              <w:left w:val="nil"/>
              <w:bottom w:val="nil"/>
              <w:right w:val="nil"/>
            </w:tcBorders>
            <w:shd w:val="clear" w:color="auto" w:fill="auto"/>
            <w:noWrap/>
            <w:vAlign w:val="bottom"/>
            <w:hideMark/>
          </w:tcPr>
          <w:p w14:paraId="23FDA97E"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3.month</w:t>
            </w:r>
          </w:p>
        </w:tc>
        <w:tc>
          <w:tcPr>
            <w:tcW w:w="0" w:type="auto"/>
            <w:tcBorders>
              <w:top w:val="nil"/>
              <w:left w:val="nil"/>
              <w:bottom w:val="nil"/>
              <w:right w:val="nil"/>
            </w:tcBorders>
            <w:shd w:val="clear" w:color="auto" w:fill="auto"/>
            <w:noWrap/>
            <w:vAlign w:val="bottom"/>
            <w:hideMark/>
          </w:tcPr>
          <w:p w14:paraId="555C135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-76.161***</w:t>
            </w:r>
          </w:p>
        </w:tc>
        <w:tc>
          <w:tcPr>
            <w:tcW w:w="0" w:type="auto"/>
            <w:tcBorders>
              <w:top w:val="nil"/>
              <w:left w:val="nil"/>
              <w:bottom w:val="nil"/>
              <w:right w:val="nil"/>
            </w:tcBorders>
            <w:shd w:val="clear" w:color="auto" w:fill="auto"/>
            <w:noWrap/>
            <w:vAlign w:val="bottom"/>
            <w:hideMark/>
          </w:tcPr>
          <w:p w14:paraId="485F2F9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-48.876***</w:t>
            </w:r>
          </w:p>
        </w:tc>
        <w:tc>
          <w:tcPr>
            <w:tcW w:w="0" w:type="auto"/>
            <w:tcBorders>
              <w:top w:val="nil"/>
              <w:left w:val="nil"/>
              <w:bottom w:val="nil"/>
              <w:right w:val="nil"/>
            </w:tcBorders>
            <w:shd w:val="clear" w:color="auto" w:fill="auto"/>
            <w:noWrap/>
            <w:vAlign w:val="bottom"/>
            <w:hideMark/>
          </w:tcPr>
          <w:p w14:paraId="06B1DA8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-31.012***</w:t>
            </w:r>
          </w:p>
        </w:tc>
        <w:tc>
          <w:tcPr>
            <w:tcW w:w="0" w:type="auto"/>
            <w:tcBorders>
              <w:top w:val="nil"/>
              <w:left w:val="nil"/>
              <w:bottom w:val="nil"/>
              <w:right w:val="nil"/>
            </w:tcBorders>
            <w:shd w:val="clear" w:color="auto" w:fill="auto"/>
            <w:noWrap/>
            <w:vAlign w:val="bottom"/>
            <w:hideMark/>
          </w:tcPr>
          <w:p w14:paraId="701812C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-35.917***</w:t>
            </w:r>
          </w:p>
        </w:tc>
        <w:tc>
          <w:tcPr>
            <w:tcW w:w="0" w:type="auto"/>
            <w:tcBorders>
              <w:top w:val="nil"/>
              <w:left w:val="nil"/>
              <w:bottom w:val="nil"/>
              <w:right w:val="nil"/>
            </w:tcBorders>
            <w:shd w:val="clear" w:color="auto" w:fill="auto"/>
            <w:noWrap/>
            <w:vAlign w:val="bottom"/>
            <w:hideMark/>
          </w:tcPr>
          <w:p w14:paraId="6695318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-27.224***</w:t>
            </w:r>
          </w:p>
        </w:tc>
        <w:tc>
          <w:tcPr>
            <w:tcW w:w="1614" w:type="dxa"/>
            <w:tcBorders>
              <w:top w:val="nil"/>
              <w:left w:val="nil"/>
              <w:bottom w:val="nil"/>
              <w:right w:val="nil"/>
            </w:tcBorders>
            <w:shd w:val="clear" w:color="auto" w:fill="auto"/>
            <w:noWrap/>
            <w:vAlign w:val="bottom"/>
            <w:hideMark/>
          </w:tcPr>
          <w:p w14:paraId="049B301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-76.161***</w:t>
            </w:r>
          </w:p>
        </w:tc>
      </w:tr>
      <w:tr w:rsidR="00145CBF" w:rsidRPr="00145CBF" w14:paraId="74E4285B" w14:textId="77777777" w:rsidTr="00145CBF">
        <w:trPr>
          <w:trHeight w:val="280"/>
        </w:trPr>
        <w:tc>
          <w:tcPr>
            <w:tcW w:w="0" w:type="auto"/>
            <w:tcBorders>
              <w:top w:val="nil"/>
              <w:left w:val="nil"/>
              <w:bottom w:val="nil"/>
              <w:right w:val="nil"/>
            </w:tcBorders>
            <w:shd w:val="clear" w:color="auto" w:fill="auto"/>
            <w:noWrap/>
            <w:vAlign w:val="bottom"/>
            <w:hideMark/>
          </w:tcPr>
          <w:p w14:paraId="32C591AE"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0727D5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(7.896)</w:t>
            </w:r>
          </w:p>
        </w:tc>
        <w:tc>
          <w:tcPr>
            <w:tcW w:w="0" w:type="auto"/>
            <w:tcBorders>
              <w:top w:val="nil"/>
              <w:left w:val="nil"/>
              <w:bottom w:val="nil"/>
              <w:right w:val="nil"/>
            </w:tcBorders>
            <w:shd w:val="clear" w:color="auto" w:fill="auto"/>
            <w:noWrap/>
            <w:vAlign w:val="bottom"/>
            <w:hideMark/>
          </w:tcPr>
          <w:p w14:paraId="233FC7E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(2.708)</w:t>
            </w:r>
          </w:p>
        </w:tc>
        <w:tc>
          <w:tcPr>
            <w:tcW w:w="0" w:type="auto"/>
            <w:tcBorders>
              <w:top w:val="nil"/>
              <w:left w:val="nil"/>
              <w:bottom w:val="nil"/>
              <w:right w:val="nil"/>
            </w:tcBorders>
            <w:shd w:val="clear" w:color="auto" w:fill="auto"/>
            <w:noWrap/>
            <w:vAlign w:val="bottom"/>
            <w:hideMark/>
          </w:tcPr>
          <w:p w14:paraId="60E5ADF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(2.113)</w:t>
            </w:r>
          </w:p>
        </w:tc>
        <w:tc>
          <w:tcPr>
            <w:tcW w:w="0" w:type="auto"/>
            <w:tcBorders>
              <w:top w:val="nil"/>
              <w:left w:val="nil"/>
              <w:bottom w:val="nil"/>
              <w:right w:val="nil"/>
            </w:tcBorders>
            <w:shd w:val="clear" w:color="auto" w:fill="auto"/>
            <w:noWrap/>
            <w:vAlign w:val="bottom"/>
            <w:hideMark/>
          </w:tcPr>
          <w:p w14:paraId="664F683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(2.023)</w:t>
            </w:r>
          </w:p>
        </w:tc>
        <w:tc>
          <w:tcPr>
            <w:tcW w:w="0" w:type="auto"/>
            <w:tcBorders>
              <w:top w:val="nil"/>
              <w:left w:val="nil"/>
              <w:bottom w:val="nil"/>
              <w:right w:val="nil"/>
            </w:tcBorders>
            <w:shd w:val="clear" w:color="auto" w:fill="auto"/>
            <w:noWrap/>
            <w:vAlign w:val="bottom"/>
            <w:hideMark/>
          </w:tcPr>
          <w:p w14:paraId="0F5D17F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(1.789)</w:t>
            </w:r>
          </w:p>
        </w:tc>
        <w:tc>
          <w:tcPr>
            <w:tcW w:w="1614" w:type="dxa"/>
            <w:tcBorders>
              <w:top w:val="nil"/>
              <w:left w:val="nil"/>
              <w:bottom w:val="nil"/>
              <w:right w:val="nil"/>
            </w:tcBorders>
            <w:shd w:val="clear" w:color="auto" w:fill="auto"/>
            <w:noWrap/>
            <w:vAlign w:val="bottom"/>
            <w:hideMark/>
          </w:tcPr>
          <w:p w14:paraId="016E05E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(7.896)</w:t>
            </w:r>
          </w:p>
        </w:tc>
      </w:tr>
      <w:tr w:rsidR="00145CBF" w:rsidRPr="00145CBF" w14:paraId="38EF9CCE" w14:textId="77777777" w:rsidTr="00145CBF">
        <w:trPr>
          <w:trHeight w:val="280"/>
        </w:trPr>
        <w:tc>
          <w:tcPr>
            <w:tcW w:w="0" w:type="auto"/>
            <w:tcBorders>
              <w:top w:val="nil"/>
              <w:left w:val="nil"/>
              <w:bottom w:val="nil"/>
              <w:right w:val="nil"/>
            </w:tcBorders>
            <w:shd w:val="clear" w:color="auto" w:fill="auto"/>
            <w:noWrap/>
            <w:vAlign w:val="bottom"/>
            <w:hideMark/>
          </w:tcPr>
          <w:p w14:paraId="6FED1DEC"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4.month</w:t>
            </w:r>
          </w:p>
        </w:tc>
        <w:tc>
          <w:tcPr>
            <w:tcW w:w="0" w:type="auto"/>
            <w:tcBorders>
              <w:top w:val="nil"/>
              <w:left w:val="nil"/>
              <w:bottom w:val="nil"/>
              <w:right w:val="nil"/>
            </w:tcBorders>
            <w:shd w:val="clear" w:color="auto" w:fill="auto"/>
            <w:noWrap/>
            <w:vAlign w:val="bottom"/>
            <w:hideMark/>
          </w:tcPr>
          <w:p w14:paraId="76A1DDA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-72.730***</w:t>
            </w:r>
          </w:p>
        </w:tc>
        <w:tc>
          <w:tcPr>
            <w:tcW w:w="0" w:type="auto"/>
            <w:tcBorders>
              <w:top w:val="nil"/>
              <w:left w:val="nil"/>
              <w:bottom w:val="nil"/>
              <w:right w:val="nil"/>
            </w:tcBorders>
            <w:shd w:val="clear" w:color="auto" w:fill="auto"/>
            <w:noWrap/>
            <w:vAlign w:val="bottom"/>
            <w:hideMark/>
          </w:tcPr>
          <w:p w14:paraId="3AC0E6F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-50.782***</w:t>
            </w:r>
          </w:p>
        </w:tc>
        <w:tc>
          <w:tcPr>
            <w:tcW w:w="0" w:type="auto"/>
            <w:tcBorders>
              <w:top w:val="nil"/>
              <w:left w:val="nil"/>
              <w:bottom w:val="nil"/>
              <w:right w:val="nil"/>
            </w:tcBorders>
            <w:shd w:val="clear" w:color="auto" w:fill="auto"/>
            <w:noWrap/>
            <w:vAlign w:val="bottom"/>
            <w:hideMark/>
          </w:tcPr>
          <w:p w14:paraId="1569A4D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-33.454***</w:t>
            </w:r>
          </w:p>
        </w:tc>
        <w:tc>
          <w:tcPr>
            <w:tcW w:w="0" w:type="auto"/>
            <w:tcBorders>
              <w:top w:val="nil"/>
              <w:left w:val="nil"/>
              <w:bottom w:val="nil"/>
              <w:right w:val="nil"/>
            </w:tcBorders>
            <w:shd w:val="clear" w:color="auto" w:fill="auto"/>
            <w:noWrap/>
            <w:vAlign w:val="bottom"/>
            <w:hideMark/>
          </w:tcPr>
          <w:p w14:paraId="10E4AEE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-37.653***</w:t>
            </w:r>
          </w:p>
        </w:tc>
        <w:tc>
          <w:tcPr>
            <w:tcW w:w="0" w:type="auto"/>
            <w:tcBorders>
              <w:top w:val="nil"/>
              <w:left w:val="nil"/>
              <w:bottom w:val="nil"/>
              <w:right w:val="nil"/>
            </w:tcBorders>
            <w:shd w:val="clear" w:color="auto" w:fill="auto"/>
            <w:noWrap/>
            <w:vAlign w:val="bottom"/>
            <w:hideMark/>
          </w:tcPr>
          <w:p w14:paraId="3016D0F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-33.488***</w:t>
            </w:r>
          </w:p>
        </w:tc>
        <w:tc>
          <w:tcPr>
            <w:tcW w:w="1614" w:type="dxa"/>
            <w:tcBorders>
              <w:top w:val="nil"/>
              <w:left w:val="nil"/>
              <w:bottom w:val="nil"/>
              <w:right w:val="nil"/>
            </w:tcBorders>
            <w:shd w:val="clear" w:color="auto" w:fill="auto"/>
            <w:noWrap/>
            <w:vAlign w:val="bottom"/>
            <w:hideMark/>
          </w:tcPr>
          <w:p w14:paraId="765BC05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-72.730***</w:t>
            </w:r>
          </w:p>
        </w:tc>
      </w:tr>
      <w:tr w:rsidR="00145CBF" w:rsidRPr="00145CBF" w14:paraId="4005A296" w14:textId="77777777" w:rsidTr="00145CBF">
        <w:trPr>
          <w:trHeight w:val="280"/>
        </w:trPr>
        <w:tc>
          <w:tcPr>
            <w:tcW w:w="0" w:type="auto"/>
            <w:tcBorders>
              <w:top w:val="nil"/>
              <w:left w:val="nil"/>
              <w:bottom w:val="nil"/>
              <w:right w:val="nil"/>
            </w:tcBorders>
            <w:shd w:val="clear" w:color="auto" w:fill="auto"/>
            <w:noWrap/>
            <w:vAlign w:val="bottom"/>
            <w:hideMark/>
          </w:tcPr>
          <w:p w14:paraId="5B5F6FC3"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774F7F6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(11.276)</w:t>
            </w:r>
          </w:p>
        </w:tc>
        <w:tc>
          <w:tcPr>
            <w:tcW w:w="0" w:type="auto"/>
            <w:tcBorders>
              <w:top w:val="nil"/>
              <w:left w:val="nil"/>
              <w:bottom w:val="nil"/>
              <w:right w:val="nil"/>
            </w:tcBorders>
            <w:shd w:val="clear" w:color="auto" w:fill="auto"/>
            <w:noWrap/>
            <w:vAlign w:val="bottom"/>
            <w:hideMark/>
          </w:tcPr>
          <w:p w14:paraId="3FD6898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(3.683)</w:t>
            </w:r>
          </w:p>
        </w:tc>
        <w:tc>
          <w:tcPr>
            <w:tcW w:w="0" w:type="auto"/>
            <w:tcBorders>
              <w:top w:val="nil"/>
              <w:left w:val="nil"/>
              <w:bottom w:val="nil"/>
              <w:right w:val="nil"/>
            </w:tcBorders>
            <w:shd w:val="clear" w:color="auto" w:fill="auto"/>
            <w:noWrap/>
            <w:vAlign w:val="bottom"/>
            <w:hideMark/>
          </w:tcPr>
          <w:p w14:paraId="2466B91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(3.369)</w:t>
            </w:r>
          </w:p>
        </w:tc>
        <w:tc>
          <w:tcPr>
            <w:tcW w:w="0" w:type="auto"/>
            <w:tcBorders>
              <w:top w:val="nil"/>
              <w:left w:val="nil"/>
              <w:bottom w:val="nil"/>
              <w:right w:val="nil"/>
            </w:tcBorders>
            <w:shd w:val="clear" w:color="auto" w:fill="auto"/>
            <w:noWrap/>
            <w:vAlign w:val="bottom"/>
            <w:hideMark/>
          </w:tcPr>
          <w:p w14:paraId="13D67D6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(3.323)</w:t>
            </w:r>
          </w:p>
        </w:tc>
        <w:tc>
          <w:tcPr>
            <w:tcW w:w="0" w:type="auto"/>
            <w:tcBorders>
              <w:top w:val="nil"/>
              <w:left w:val="nil"/>
              <w:bottom w:val="nil"/>
              <w:right w:val="nil"/>
            </w:tcBorders>
            <w:shd w:val="clear" w:color="auto" w:fill="auto"/>
            <w:noWrap/>
            <w:vAlign w:val="bottom"/>
            <w:hideMark/>
          </w:tcPr>
          <w:p w14:paraId="26964D3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(2.880)</w:t>
            </w:r>
          </w:p>
        </w:tc>
        <w:tc>
          <w:tcPr>
            <w:tcW w:w="1614" w:type="dxa"/>
            <w:tcBorders>
              <w:top w:val="nil"/>
              <w:left w:val="nil"/>
              <w:bottom w:val="nil"/>
              <w:right w:val="nil"/>
            </w:tcBorders>
            <w:shd w:val="clear" w:color="auto" w:fill="auto"/>
            <w:noWrap/>
            <w:vAlign w:val="bottom"/>
            <w:hideMark/>
          </w:tcPr>
          <w:p w14:paraId="6F1CD43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(11.276)</w:t>
            </w:r>
          </w:p>
        </w:tc>
      </w:tr>
      <w:tr w:rsidR="00145CBF" w:rsidRPr="00145CBF" w14:paraId="49E992E6" w14:textId="77777777" w:rsidTr="00145CBF">
        <w:trPr>
          <w:trHeight w:val="280"/>
        </w:trPr>
        <w:tc>
          <w:tcPr>
            <w:tcW w:w="0" w:type="auto"/>
            <w:tcBorders>
              <w:top w:val="nil"/>
              <w:left w:val="nil"/>
              <w:bottom w:val="nil"/>
              <w:right w:val="nil"/>
            </w:tcBorders>
            <w:shd w:val="clear" w:color="auto" w:fill="auto"/>
            <w:noWrap/>
            <w:vAlign w:val="bottom"/>
            <w:hideMark/>
          </w:tcPr>
          <w:p w14:paraId="333B2A49"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5.month</w:t>
            </w:r>
          </w:p>
        </w:tc>
        <w:tc>
          <w:tcPr>
            <w:tcW w:w="0" w:type="auto"/>
            <w:tcBorders>
              <w:top w:val="nil"/>
              <w:left w:val="nil"/>
              <w:bottom w:val="nil"/>
              <w:right w:val="nil"/>
            </w:tcBorders>
            <w:shd w:val="clear" w:color="auto" w:fill="auto"/>
            <w:noWrap/>
            <w:vAlign w:val="bottom"/>
            <w:hideMark/>
          </w:tcPr>
          <w:p w14:paraId="7FD20B88"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-74.756***</w:t>
            </w:r>
          </w:p>
        </w:tc>
        <w:tc>
          <w:tcPr>
            <w:tcW w:w="0" w:type="auto"/>
            <w:tcBorders>
              <w:top w:val="nil"/>
              <w:left w:val="nil"/>
              <w:bottom w:val="nil"/>
              <w:right w:val="nil"/>
            </w:tcBorders>
            <w:shd w:val="clear" w:color="auto" w:fill="auto"/>
            <w:noWrap/>
            <w:vAlign w:val="bottom"/>
            <w:hideMark/>
          </w:tcPr>
          <w:p w14:paraId="3811588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-40.958***</w:t>
            </w:r>
          </w:p>
        </w:tc>
        <w:tc>
          <w:tcPr>
            <w:tcW w:w="0" w:type="auto"/>
            <w:tcBorders>
              <w:top w:val="nil"/>
              <w:left w:val="nil"/>
              <w:bottom w:val="nil"/>
              <w:right w:val="nil"/>
            </w:tcBorders>
            <w:shd w:val="clear" w:color="auto" w:fill="auto"/>
            <w:noWrap/>
            <w:vAlign w:val="bottom"/>
            <w:hideMark/>
          </w:tcPr>
          <w:p w14:paraId="0C7DA06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-27.801***</w:t>
            </w:r>
          </w:p>
        </w:tc>
        <w:tc>
          <w:tcPr>
            <w:tcW w:w="0" w:type="auto"/>
            <w:tcBorders>
              <w:top w:val="nil"/>
              <w:left w:val="nil"/>
              <w:bottom w:val="nil"/>
              <w:right w:val="nil"/>
            </w:tcBorders>
            <w:shd w:val="clear" w:color="auto" w:fill="auto"/>
            <w:noWrap/>
            <w:vAlign w:val="bottom"/>
            <w:hideMark/>
          </w:tcPr>
          <w:p w14:paraId="4A7EC70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-28.440***</w:t>
            </w:r>
          </w:p>
        </w:tc>
        <w:tc>
          <w:tcPr>
            <w:tcW w:w="0" w:type="auto"/>
            <w:tcBorders>
              <w:top w:val="nil"/>
              <w:left w:val="nil"/>
              <w:bottom w:val="nil"/>
              <w:right w:val="nil"/>
            </w:tcBorders>
            <w:shd w:val="clear" w:color="auto" w:fill="auto"/>
            <w:noWrap/>
            <w:vAlign w:val="bottom"/>
            <w:hideMark/>
          </w:tcPr>
          <w:p w14:paraId="7CA692A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-23.222***</w:t>
            </w:r>
          </w:p>
        </w:tc>
        <w:tc>
          <w:tcPr>
            <w:tcW w:w="1614" w:type="dxa"/>
            <w:tcBorders>
              <w:top w:val="nil"/>
              <w:left w:val="nil"/>
              <w:bottom w:val="nil"/>
              <w:right w:val="nil"/>
            </w:tcBorders>
            <w:shd w:val="clear" w:color="auto" w:fill="auto"/>
            <w:noWrap/>
            <w:vAlign w:val="bottom"/>
            <w:hideMark/>
          </w:tcPr>
          <w:p w14:paraId="1D54666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-74.756***</w:t>
            </w:r>
          </w:p>
        </w:tc>
      </w:tr>
      <w:tr w:rsidR="00145CBF" w:rsidRPr="00145CBF" w14:paraId="6036DC01" w14:textId="77777777" w:rsidTr="00145CBF">
        <w:trPr>
          <w:trHeight w:val="280"/>
        </w:trPr>
        <w:tc>
          <w:tcPr>
            <w:tcW w:w="0" w:type="auto"/>
            <w:tcBorders>
              <w:top w:val="nil"/>
              <w:left w:val="nil"/>
              <w:bottom w:val="nil"/>
              <w:right w:val="nil"/>
            </w:tcBorders>
            <w:shd w:val="clear" w:color="auto" w:fill="auto"/>
            <w:noWrap/>
            <w:vAlign w:val="bottom"/>
            <w:hideMark/>
          </w:tcPr>
          <w:p w14:paraId="20B569B5"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AA50AA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(15.924)</w:t>
            </w:r>
          </w:p>
        </w:tc>
        <w:tc>
          <w:tcPr>
            <w:tcW w:w="0" w:type="auto"/>
            <w:tcBorders>
              <w:top w:val="nil"/>
              <w:left w:val="nil"/>
              <w:bottom w:val="nil"/>
              <w:right w:val="nil"/>
            </w:tcBorders>
            <w:shd w:val="clear" w:color="auto" w:fill="auto"/>
            <w:noWrap/>
            <w:vAlign w:val="bottom"/>
            <w:hideMark/>
          </w:tcPr>
          <w:p w14:paraId="5896E14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(5.005)</w:t>
            </w:r>
          </w:p>
        </w:tc>
        <w:tc>
          <w:tcPr>
            <w:tcW w:w="0" w:type="auto"/>
            <w:tcBorders>
              <w:top w:val="nil"/>
              <w:left w:val="nil"/>
              <w:bottom w:val="nil"/>
              <w:right w:val="nil"/>
            </w:tcBorders>
            <w:shd w:val="clear" w:color="auto" w:fill="auto"/>
            <w:noWrap/>
            <w:vAlign w:val="bottom"/>
            <w:hideMark/>
          </w:tcPr>
          <w:p w14:paraId="2F4DC34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(4.777)</w:t>
            </w:r>
          </w:p>
        </w:tc>
        <w:tc>
          <w:tcPr>
            <w:tcW w:w="0" w:type="auto"/>
            <w:tcBorders>
              <w:top w:val="nil"/>
              <w:left w:val="nil"/>
              <w:bottom w:val="nil"/>
              <w:right w:val="nil"/>
            </w:tcBorders>
            <w:shd w:val="clear" w:color="auto" w:fill="auto"/>
            <w:noWrap/>
            <w:vAlign w:val="bottom"/>
            <w:hideMark/>
          </w:tcPr>
          <w:p w14:paraId="554A3EA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(4.529)</w:t>
            </w:r>
          </w:p>
        </w:tc>
        <w:tc>
          <w:tcPr>
            <w:tcW w:w="0" w:type="auto"/>
            <w:tcBorders>
              <w:top w:val="nil"/>
              <w:left w:val="nil"/>
              <w:bottom w:val="nil"/>
              <w:right w:val="nil"/>
            </w:tcBorders>
            <w:shd w:val="clear" w:color="auto" w:fill="auto"/>
            <w:noWrap/>
            <w:vAlign w:val="bottom"/>
            <w:hideMark/>
          </w:tcPr>
          <w:p w14:paraId="1C51A8A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(4.043)</w:t>
            </w:r>
          </w:p>
        </w:tc>
        <w:tc>
          <w:tcPr>
            <w:tcW w:w="1614" w:type="dxa"/>
            <w:tcBorders>
              <w:top w:val="nil"/>
              <w:left w:val="nil"/>
              <w:bottom w:val="nil"/>
              <w:right w:val="nil"/>
            </w:tcBorders>
            <w:shd w:val="clear" w:color="auto" w:fill="auto"/>
            <w:noWrap/>
            <w:vAlign w:val="bottom"/>
            <w:hideMark/>
          </w:tcPr>
          <w:p w14:paraId="03BF629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(15.924)</w:t>
            </w:r>
          </w:p>
        </w:tc>
      </w:tr>
      <w:tr w:rsidR="00145CBF" w:rsidRPr="00145CBF" w14:paraId="53368A86" w14:textId="77777777" w:rsidTr="00145CBF">
        <w:trPr>
          <w:trHeight w:val="280"/>
        </w:trPr>
        <w:tc>
          <w:tcPr>
            <w:tcW w:w="0" w:type="auto"/>
            <w:tcBorders>
              <w:top w:val="nil"/>
              <w:left w:val="nil"/>
              <w:bottom w:val="nil"/>
              <w:right w:val="nil"/>
            </w:tcBorders>
            <w:shd w:val="clear" w:color="auto" w:fill="auto"/>
            <w:noWrap/>
            <w:vAlign w:val="bottom"/>
            <w:hideMark/>
          </w:tcPr>
          <w:p w14:paraId="33A2EA55"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6.month</w:t>
            </w:r>
          </w:p>
        </w:tc>
        <w:tc>
          <w:tcPr>
            <w:tcW w:w="0" w:type="auto"/>
            <w:tcBorders>
              <w:top w:val="nil"/>
              <w:left w:val="nil"/>
              <w:bottom w:val="nil"/>
              <w:right w:val="nil"/>
            </w:tcBorders>
            <w:shd w:val="clear" w:color="auto" w:fill="auto"/>
            <w:noWrap/>
            <w:vAlign w:val="bottom"/>
            <w:hideMark/>
          </w:tcPr>
          <w:p w14:paraId="0C047BC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-81.265***</w:t>
            </w:r>
          </w:p>
        </w:tc>
        <w:tc>
          <w:tcPr>
            <w:tcW w:w="0" w:type="auto"/>
            <w:tcBorders>
              <w:top w:val="nil"/>
              <w:left w:val="nil"/>
              <w:bottom w:val="nil"/>
              <w:right w:val="nil"/>
            </w:tcBorders>
            <w:shd w:val="clear" w:color="auto" w:fill="auto"/>
            <w:noWrap/>
            <w:vAlign w:val="bottom"/>
            <w:hideMark/>
          </w:tcPr>
          <w:p w14:paraId="230E0E7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-34.776***</w:t>
            </w:r>
          </w:p>
        </w:tc>
        <w:tc>
          <w:tcPr>
            <w:tcW w:w="0" w:type="auto"/>
            <w:tcBorders>
              <w:top w:val="nil"/>
              <w:left w:val="nil"/>
              <w:bottom w:val="nil"/>
              <w:right w:val="nil"/>
            </w:tcBorders>
            <w:shd w:val="clear" w:color="auto" w:fill="auto"/>
            <w:noWrap/>
            <w:vAlign w:val="bottom"/>
            <w:hideMark/>
          </w:tcPr>
          <w:p w14:paraId="6D4CA38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-27.747***</w:t>
            </w:r>
          </w:p>
        </w:tc>
        <w:tc>
          <w:tcPr>
            <w:tcW w:w="0" w:type="auto"/>
            <w:tcBorders>
              <w:top w:val="nil"/>
              <w:left w:val="nil"/>
              <w:bottom w:val="nil"/>
              <w:right w:val="nil"/>
            </w:tcBorders>
            <w:shd w:val="clear" w:color="auto" w:fill="auto"/>
            <w:noWrap/>
            <w:vAlign w:val="bottom"/>
            <w:hideMark/>
          </w:tcPr>
          <w:p w14:paraId="302B08E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-24.408***</w:t>
            </w:r>
          </w:p>
        </w:tc>
        <w:tc>
          <w:tcPr>
            <w:tcW w:w="0" w:type="auto"/>
            <w:tcBorders>
              <w:top w:val="nil"/>
              <w:left w:val="nil"/>
              <w:bottom w:val="nil"/>
              <w:right w:val="nil"/>
            </w:tcBorders>
            <w:shd w:val="clear" w:color="auto" w:fill="auto"/>
            <w:noWrap/>
            <w:vAlign w:val="bottom"/>
            <w:hideMark/>
          </w:tcPr>
          <w:p w14:paraId="7E0248A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-21.316***</w:t>
            </w:r>
          </w:p>
        </w:tc>
        <w:tc>
          <w:tcPr>
            <w:tcW w:w="1614" w:type="dxa"/>
            <w:tcBorders>
              <w:top w:val="nil"/>
              <w:left w:val="nil"/>
              <w:bottom w:val="nil"/>
              <w:right w:val="nil"/>
            </w:tcBorders>
            <w:shd w:val="clear" w:color="auto" w:fill="auto"/>
            <w:noWrap/>
            <w:vAlign w:val="bottom"/>
            <w:hideMark/>
          </w:tcPr>
          <w:p w14:paraId="38A9553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-81.265***</w:t>
            </w:r>
          </w:p>
        </w:tc>
      </w:tr>
      <w:tr w:rsidR="00145CBF" w:rsidRPr="00145CBF" w14:paraId="4D6E345E" w14:textId="77777777" w:rsidTr="00145CBF">
        <w:trPr>
          <w:trHeight w:val="280"/>
        </w:trPr>
        <w:tc>
          <w:tcPr>
            <w:tcW w:w="0" w:type="auto"/>
            <w:tcBorders>
              <w:top w:val="nil"/>
              <w:left w:val="nil"/>
              <w:bottom w:val="nil"/>
              <w:right w:val="nil"/>
            </w:tcBorders>
            <w:shd w:val="clear" w:color="auto" w:fill="auto"/>
            <w:noWrap/>
            <w:vAlign w:val="bottom"/>
            <w:hideMark/>
          </w:tcPr>
          <w:p w14:paraId="6E6D2053"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B7E14B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(18.127)</w:t>
            </w:r>
          </w:p>
        </w:tc>
        <w:tc>
          <w:tcPr>
            <w:tcW w:w="0" w:type="auto"/>
            <w:tcBorders>
              <w:top w:val="nil"/>
              <w:left w:val="nil"/>
              <w:bottom w:val="nil"/>
              <w:right w:val="nil"/>
            </w:tcBorders>
            <w:shd w:val="clear" w:color="auto" w:fill="auto"/>
            <w:noWrap/>
            <w:vAlign w:val="bottom"/>
            <w:hideMark/>
          </w:tcPr>
          <w:p w14:paraId="5EECFD4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(5.973)</w:t>
            </w:r>
          </w:p>
        </w:tc>
        <w:tc>
          <w:tcPr>
            <w:tcW w:w="0" w:type="auto"/>
            <w:tcBorders>
              <w:top w:val="nil"/>
              <w:left w:val="nil"/>
              <w:bottom w:val="nil"/>
              <w:right w:val="nil"/>
            </w:tcBorders>
            <w:shd w:val="clear" w:color="auto" w:fill="auto"/>
            <w:noWrap/>
            <w:vAlign w:val="bottom"/>
            <w:hideMark/>
          </w:tcPr>
          <w:p w14:paraId="44BE70E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(5.389)</w:t>
            </w:r>
          </w:p>
        </w:tc>
        <w:tc>
          <w:tcPr>
            <w:tcW w:w="0" w:type="auto"/>
            <w:tcBorders>
              <w:top w:val="nil"/>
              <w:left w:val="nil"/>
              <w:bottom w:val="nil"/>
              <w:right w:val="nil"/>
            </w:tcBorders>
            <w:shd w:val="clear" w:color="auto" w:fill="auto"/>
            <w:noWrap/>
            <w:vAlign w:val="bottom"/>
            <w:hideMark/>
          </w:tcPr>
          <w:p w14:paraId="58FF1AE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(4.509)</w:t>
            </w:r>
          </w:p>
        </w:tc>
        <w:tc>
          <w:tcPr>
            <w:tcW w:w="0" w:type="auto"/>
            <w:tcBorders>
              <w:top w:val="nil"/>
              <w:left w:val="nil"/>
              <w:bottom w:val="nil"/>
              <w:right w:val="nil"/>
            </w:tcBorders>
            <w:shd w:val="clear" w:color="auto" w:fill="auto"/>
            <w:noWrap/>
            <w:vAlign w:val="bottom"/>
            <w:hideMark/>
          </w:tcPr>
          <w:p w14:paraId="4DB7CB7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(4.342)</w:t>
            </w:r>
          </w:p>
        </w:tc>
        <w:tc>
          <w:tcPr>
            <w:tcW w:w="1614" w:type="dxa"/>
            <w:tcBorders>
              <w:top w:val="nil"/>
              <w:left w:val="nil"/>
              <w:bottom w:val="nil"/>
              <w:right w:val="nil"/>
            </w:tcBorders>
            <w:shd w:val="clear" w:color="auto" w:fill="auto"/>
            <w:noWrap/>
            <w:vAlign w:val="bottom"/>
            <w:hideMark/>
          </w:tcPr>
          <w:p w14:paraId="1F063D6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(18.127)</w:t>
            </w:r>
          </w:p>
        </w:tc>
      </w:tr>
      <w:tr w:rsidR="00145CBF" w:rsidRPr="00145CBF" w14:paraId="6C1FBACB" w14:textId="77777777" w:rsidTr="00145CBF">
        <w:trPr>
          <w:trHeight w:val="280"/>
        </w:trPr>
        <w:tc>
          <w:tcPr>
            <w:tcW w:w="0" w:type="auto"/>
            <w:tcBorders>
              <w:top w:val="nil"/>
              <w:left w:val="nil"/>
              <w:bottom w:val="nil"/>
              <w:right w:val="nil"/>
            </w:tcBorders>
            <w:shd w:val="clear" w:color="auto" w:fill="auto"/>
            <w:noWrap/>
            <w:vAlign w:val="bottom"/>
            <w:hideMark/>
          </w:tcPr>
          <w:p w14:paraId="17DBCA79"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7.month</w:t>
            </w:r>
          </w:p>
        </w:tc>
        <w:tc>
          <w:tcPr>
            <w:tcW w:w="0" w:type="auto"/>
            <w:tcBorders>
              <w:top w:val="nil"/>
              <w:left w:val="nil"/>
              <w:bottom w:val="nil"/>
              <w:right w:val="nil"/>
            </w:tcBorders>
            <w:shd w:val="clear" w:color="auto" w:fill="auto"/>
            <w:noWrap/>
            <w:vAlign w:val="bottom"/>
            <w:hideMark/>
          </w:tcPr>
          <w:p w14:paraId="65F3530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-91.562***</w:t>
            </w:r>
          </w:p>
        </w:tc>
        <w:tc>
          <w:tcPr>
            <w:tcW w:w="0" w:type="auto"/>
            <w:tcBorders>
              <w:top w:val="nil"/>
              <w:left w:val="nil"/>
              <w:bottom w:val="nil"/>
              <w:right w:val="nil"/>
            </w:tcBorders>
            <w:shd w:val="clear" w:color="auto" w:fill="auto"/>
            <w:noWrap/>
            <w:vAlign w:val="bottom"/>
            <w:hideMark/>
          </w:tcPr>
          <w:p w14:paraId="42C43F6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-35.689***</w:t>
            </w:r>
          </w:p>
        </w:tc>
        <w:tc>
          <w:tcPr>
            <w:tcW w:w="0" w:type="auto"/>
            <w:tcBorders>
              <w:top w:val="nil"/>
              <w:left w:val="nil"/>
              <w:bottom w:val="nil"/>
              <w:right w:val="nil"/>
            </w:tcBorders>
            <w:shd w:val="clear" w:color="auto" w:fill="auto"/>
            <w:noWrap/>
            <w:vAlign w:val="bottom"/>
            <w:hideMark/>
          </w:tcPr>
          <w:p w14:paraId="7DC13DC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-29.532***</w:t>
            </w:r>
          </w:p>
        </w:tc>
        <w:tc>
          <w:tcPr>
            <w:tcW w:w="0" w:type="auto"/>
            <w:tcBorders>
              <w:top w:val="nil"/>
              <w:left w:val="nil"/>
              <w:bottom w:val="nil"/>
              <w:right w:val="nil"/>
            </w:tcBorders>
            <w:shd w:val="clear" w:color="auto" w:fill="auto"/>
            <w:noWrap/>
            <w:vAlign w:val="bottom"/>
            <w:hideMark/>
          </w:tcPr>
          <w:p w14:paraId="796C536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-24.897***</w:t>
            </w:r>
          </w:p>
        </w:tc>
        <w:tc>
          <w:tcPr>
            <w:tcW w:w="0" w:type="auto"/>
            <w:tcBorders>
              <w:top w:val="nil"/>
              <w:left w:val="nil"/>
              <w:bottom w:val="nil"/>
              <w:right w:val="nil"/>
            </w:tcBorders>
            <w:shd w:val="clear" w:color="auto" w:fill="auto"/>
            <w:noWrap/>
            <w:vAlign w:val="bottom"/>
            <w:hideMark/>
          </w:tcPr>
          <w:p w14:paraId="4BC7D11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-26.363***</w:t>
            </w:r>
          </w:p>
        </w:tc>
        <w:tc>
          <w:tcPr>
            <w:tcW w:w="1614" w:type="dxa"/>
            <w:tcBorders>
              <w:top w:val="nil"/>
              <w:left w:val="nil"/>
              <w:bottom w:val="nil"/>
              <w:right w:val="nil"/>
            </w:tcBorders>
            <w:shd w:val="clear" w:color="auto" w:fill="auto"/>
            <w:noWrap/>
            <w:vAlign w:val="bottom"/>
            <w:hideMark/>
          </w:tcPr>
          <w:p w14:paraId="4BADF86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-91.562***</w:t>
            </w:r>
          </w:p>
        </w:tc>
      </w:tr>
      <w:tr w:rsidR="00145CBF" w:rsidRPr="00145CBF" w14:paraId="5F063DD1" w14:textId="77777777" w:rsidTr="00145CBF">
        <w:trPr>
          <w:trHeight w:val="280"/>
        </w:trPr>
        <w:tc>
          <w:tcPr>
            <w:tcW w:w="0" w:type="auto"/>
            <w:tcBorders>
              <w:top w:val="nil"/>
              <w:left w:val="nil"/>
              <w:bottom w:val="nil"/>
              <w:right w:val="nil"/>
            </w:tcBorders>
            <w:shd w:val="clear" w:color="auto" w:fill="auto"/>
            <w:noWrap/>
            <w:vAlign w:val="bottom"/>
            <w:hideMark/>
          </w:tcPr>
          <w:p w14:paraId="184DF81B"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0233EF1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(18.238)</w:t>
            </w:r>
          </w:p>
        </w:tc>
        <w:tc>
          <w:tcPr>
            <w:tcW w:w="0" w:type="auto"/>
            <w:tcBorders>
              <w:top w:val="nil"/>
              <w:left w:val="nil"/>
              <w:bottom w:val="nil"/>
              <w:right w:val="nil"/>
            </w:tcBorders>
            <w:shd w:val="clear" w:color="auto" w:fill="auto"/>
            <w:noWrap/>
            <w:vAlign w:val="bottom"/>
            <w:hideMark/>
          </w:tcPr>
          <w:p w14:paraId="1D68F41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(5.414)</w:t>
            </w:r>
          </w:p>
        </w:tc>
        <w:tc>
          <w:tcPr>
            <w:tcW w:w="0" w:type="auto"/>
            <w:tcBorders>
              <w:top w:val="nil"/>
              <w:left w:val="nil"/>
              <w:bottom w:val="nil"/>
              <w:right w:val="nil"/>
            </w:tcBorders>
            <w:shd w:val="clear" w:color="auto" w:fill="auto"/>
            <w:noWrap/>
            <w:vAlign w:val="bottom"/>
            <w:hideMark/>
          </w:tcPr>
          <w:p w14:paraId="5E68036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(5.161)</w:t>
            </w:r>
          </w:p>
        </w:tc>
        <w:tc>
          <w:tcPr>
            <w:tcW w:w="0" w:type="auto"/>
            <w:tcBorders>
              <w:top w:val="nil"/>
              <w:left w:val="nil"/>
              <w:bottom w:val="nil"/>
              <w:right w:val="nil"/>
            </w:tcBorders>
            <w:shd w:val="clear" w:color="auto" w:fill="auto"/>
            <w:noWrap/>
            <w:vAlign w:val="bottom"/>
            <w:hideMark/>
          </w:tcPr>
          <w:p w14:paraId="57582F8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(3.978)</w:t>
            </w:r>
          </w:p>
        </w:tc>
        <w:tc>
          <w:tcPr>
            <w:tcW w:w="0" w:type="auto"/>
            <w:tcBorders>
              <w:top w:val="nil"/>
              <w:left w:val="nil"/>
              <w:bottom w:val="nil"/>
              <w:right w:val="nil"/>
            </w:tcBorders>
            <w:shd w:val="clear" w:color="auto" w:fill="auto"/>
            <w:noWrap/>
            <w:vAlign w:val="bottom"/>
            <w:hideMark/>
          </w:tcPr>
          <w:p w14:paraId="6D236FE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(4.049)</w:t>
            </w:r>
          </w:p>
        </w:tc>
        <w:tc>
          <w:tcPr>
            <w:tcW w:w="1614" w:type="dxa"/>
            <w:tcBorders>
              <w:top w:val="nil"/>
              <w:left w:val="nil"/>
              <w:bottom w:val="nil"/>
              <w:right w:val="nil"/>
            </w:tcBorders>
            <w:shd w:val="clear" w:color="auto" w:fill="auto"/>
            <w:noWrap/>
            <w:vAlign w:val="bottom"/>
            <w:hideMark/>
          </w:tcPr>
          <w:p w14:paraId="0389F84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(18.238)</w:t>
            </w:r>
          </w:p>
        </w:tc>
      </w:tr>
      <w:tr w:rsidR="00145CBF" w:rsidRPr="00145CBF" w14:paraId="59758440" w14:textId="77777777" w:rsidTr="00145CBF">
        <w:trPr>
          <w:trHeight w:val="280"/>
        </w:trPr>
        <w:tc>
          <w:tcPr>
            <w:tcW w:w="0" w:type="auto"/>
            <w:tcBorders>
              <w:top w:val="nil"/>
              <w:left w:val="nil"/>
              <w:bottom w:val="nil"/>
              <w:right w:val="nil"/>
            </w:tcBorders>
            <w:shd w:val="clear" w:color="auto" w:fill="auto"/>
            <w:noWrap/>
            <w:vAlign w:val="bottom"/>
            <w:hideMark/>
          </w:tcPr>
          <w:p w14:paraId="0D7E5119"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8.month</w:t>
            </w:r>
          </w:p>
        </w:tc>
        <w:tc>
          <w:tcPr>
            <w:tcW w:w="0" w:type="auto"/>
            <w:tcBorders>
              <w:top w:val="nil"/>
              <w:left w:val="nil"/>
              <w:bottom w:val="nil"/>
              <w:right w:val="nil"/>
            </w:tcBorders>
            <w:shd w:val="clear" w:color="auto" w:fill="auto"/>
            <w:noWrap/>
            <w:vAlign w:val="bottom"/>
            <w:hideMark/>
          </w:tcPr>
          <w:p w14:paraId="41F9DB3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-106.620***</w:t>
            </w:r>
          </w:p>
        </w:tc>
        <w:tc>
          <w:tcPr>
            <w:tcW w:w="0" w:type="auto"/>
            <w:tcBorders>
              <w:top w:val="nil"/>
              <w:left w:val="nil"/>
              <w:bottom w:val="nil"/>
              <w:right w:val="nil"/>
            </w:tcBorders>
            <w:shd w:val="clear" w:color="auto" w:fill="auto"/>
            <w:noWrap/>
            <w:vAlign w:val="bottom"/>
            <w:hideMark/>
          </w:tcPr>
          <w:p w14:paraId="295B8A2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-38.043***</w:t>
            </w:r>
          </w:p>
        </w:tc>
        <w:tc>
          <w:tcPr>
            <w:tcW w:w="0" w:type="auto"/>
            <w:tcBorders>
              <w:top w:val="nil"/>
              <w:left w:val="nil"/>
              <w:bottom w:val="nil"/>
              <w:right w:val="nil"/>
            </w:tcBorders>
            <w:shd w:val="clear" w:color="auto" w:fill="auto"/>
            <w:noWrap/>
            <w:vAlign w:val="bottom"/>
            <w:hideMark/>
          </w:tcPr>
          <w:p w14:paraId="37CEA97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-29.886***</w:t>
            </w:r>
          </w:p>
        </w:tc>
        <w:tc>
          <w:tcPr>
            <w:tcW w:w="0" w:type="auto"/>
            <w:tcBorders>
              <w:top w:val="nil"/>
              <w:left w:val="nil"/>
              <w:bottom w:val="nil"/>
              <w:right w:val="nil"/>
            </w:tcBorders>
            <w:shd w:val="clear" w:color="auto" w:fill="auto"/>
            <w:noWrap/>
            <w:vAlign w:val="bottom"/>
            <w:hideMark/>
          </w:tcPr>
          <w:p w14:paraId="0E4925A3"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-23.827***</w:t>
            </w:r>
          </w:p>
        </w:tc>
        <w:tc>
          <w:tcPr>
            <w:tcW w:w="0" w:type="auto"/>
            <w:tcBorders>
              <w:top w:val="nil"/>
              <w:left w:val="nil"/>
              <w:bottom w:val="nil"/>
              <w:right w:val="nil"/>
            </w:tcBorders>
            <w:shd w:val="clear" w:color="auto" w:fill="auto"/>
            <w:noWrap/>
            <w:vAlign w:val="bottom"/>
            <w:hideMark/>
          </w:tcPr>
          <w:p w14:paraId="2735900B"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-24.386***</w:t>
            </w:r>
          </w:p>
        </w:tc>
        <w:tc>
          <w:tcPr>
            <w:tcW w:w="1614" w:type="dxa"/>
            <w:tcBorders>
              <w:top w:val="nil"/>
              <w:left w:val="nil"/>
              <w:bottom w:val="nil"/>
              <w:right w:val="nil"/>
            </w:tcBorders>
            <w:shd w:val="clear" w:color="auto" w:fill="auto"/>
            <w:noWrap/>
            <w:vAlign w:val="bottom"/>
            <w:hideMark/>
          </w:tcPr>
          <w:p w14:paraId="4CE3C7D1"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-106.620***</w:t>
            </w:r>
          </w:p>
        </w:tc>
      </w:tr>
      <w:tr w:rsidR="00145CBF" w:rsidRPr="00145CBF" w14:paraId="7495694C" w14:textId="77777777" w:rsidTr="00145CBF">
        <w:trPr>
          <w:trHeight w:val="280"/>
        </w:trPr>
        <w:tc>
          <w:tcPr>
            <w:tcW w:w="0" w:type="auto"/>
            <w:tcBorders>
              <w:top w:val="nil"/>
              <w:left w:val="nil"/>
              <w:bottom w:val="nil"/>
              <w:right w:val="nil"/>
            </w:tcBorders>
            <w:shd w:val="clear" w:color="auto" w:fill="auto"/>
            <w:noWrap/>
            <w:vAlign w:val="bottom"/>
            <w:hideMark/>
          </w:tcPr>
          <w:p w14:paraId="0C5F779A"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457BF51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(18.594)</w:t>
            </w:r>
          </w:p>
        </w:tc>
        <w:tc>
          <w:tcPr>
            <w:tcW w:w="0" w:type="auto"/>
            <w:tcBorders>
              <w:top w:val="nil"/>
              <w:left w:val="nil"/>
              <w:bottom w:val="nil"/>
              <w:right w:val="nil"/>
            </w:tcBorders>
            <w:shd w:val="clear" w:color="auto" w:fill="auto"/>
            <w:noWrap/>
            <w:vAlign w:val="bottom"/>
            <w:hideMark/>
          </w:tcPr>
          <w:p w14:paraId="3F7611E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(4.775)</w:t>
            </w:r>
          </w:p>
        </w:tc>
        <w:tc>
          <w:tcPr>
            <w:tcW w:w="0" w:type="auto"/>
            <w:tcBorders>
              <w:top w:val="nil"/>
              <w:left w:val="nil"/>
              <w:bottom w:val="nil"/>
              <w:right w:val="nil"/>
            </w:tcBorders>
            <w:shd w:val="clear" w:color="auto" w:fill="auto"/>
            <w:noWrap/>
            <w:vAlign w:val="bottom"/>
            <w:hideMark/>
          </w:tcPr>
          <w:p w14:paraId="2F9A8F2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(4.765)</w:t>
            </w:r>
          </w:p>
        </w:tc>
        <w:tc>
          <w:tcPr>
            <w:tcW w:w="0" w:type="auto"/>
            <w:tcBorders>
              <w:top w:val="nil"/>
              <w:left w:val="nil"/>
              <w:bottom w:val="nil"/>
              <w:right w:val="nil"/>
            </w:tcBorders>
            <w:shd w:val="clear" w:color="auto" w:fill="auto"/>
            <w:noWrap/>
            <w:vAlign w:val="bottom"/>
            <w:hideMark/>
          </w:tcPr>
          <w:p w14:paraId="5771E39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(3.406)</w:t>
            </w:r>
          </w:p>
        </w:tc>
        <w:tc>
          <w:tcPr>
            <w:tcW w:w="0" w:type="auto"/>
            <w:tcBorders>
              <w:top w:val="nil"/>
              <w:left w:val="nil"/>
              <w:bottom w:val="nil"/>
              <w:right w:val="nil"/>
            </w:tcBorders>
            <w:shd w:val="clear" w:color="auto" w:fill="auto"/>
            <w:noWrap/>
            <w:vAlign w:val="bottom"/>
            <w:hideMark/>
          </w:tcPr>
          <w:p w14:paraId="4735FD3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(3.174)</w:t>
            </w:r>
          </w:p>
        </w:tc>
        <w:tc>
          <w:tcPr>
            <w:tcW w:w="1614" w:type="dxa"/>
            <w:tcBorders>
              <w:top w:val="nil"/>
              <w:left w:val="nil"/>
              <w:bottom w:val="nil"/>
              <w:right w:val="nil"/>
            </w:tcBorders>
            <w:shd w:val="clear" w:color="auto" w:fill="auto"/>
            <w:noWrap/>
            <w:vAlign w:val="bottom"/>
            <w:hideMark/>
          </w:tcPr>
          <w:p w14:paraId="7D3EFDA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(18.594)</w:t>
            </w:r>
          </w:p>
        </w:tc>
      </w:tr>
      <w:tr w:rsidR="00145CBF" w:rsidRPr="00145CBF" w14:paraId="02AA07DA" w14:textId="77777777" w:rsidTr="00145CBF">
        <w:trPr>
          <w:trHeight w:val="280"/>
        </w:trPr>
        <w:tc>
          <w:tcPr>
            <w:tcW w:w="0" w:type="auto"/>
            <w:tcBorders>
              <w:top w:val="nil"/>
              <w:left w:val="nil"/>
              <w:bottom w:val="nil"/>
              <w:right w:val="nil"/>
            </w:tcBorders>
            <w:shd w:val="clear" w:color="auto" w:fill="auto"/>
            <w:noWrap/>
            <w:vAlign w:val="bottom"/>
            <w:hideMark/>
          </w:tcPr>
          <w:p w14:paraId="22F57808"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Constant</w:t>
            </w:r>
          </w:p>
        </w:tc>
        <w:tc>
          <w:tcPr>
            <w:tcW w:w="0" w:type="auto"/>
            <w:tcBorders>
              <w:top w:val="nil"/>
              <w:left w:val="nil"/>
              <w:bottom w:val="nil"/>
              <w:right w:val="nil"/>
            </w:tcBorders>
            <w:shd w:val="clear" w:color="auto" w:fill="auto"/>
            <w:noWrap/>
            <w:vAlign w:val="bottom"/>
            <w:hideMark/>
          </w:tcPr>
          <w:p w14:paraId="3E0A824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96.085***</w:t>
            </w:r>
          </w:p>
        </w:tc>
        <w:tc>
          <w:tcPr>
            <w:tcW w:w="0" w:type="auto"/>
            <w:tcBorders>
              <w:top w:val="nil"/>
              <w:left w:val="nil"/>
              <w:bottom w:val="nil"/>
              <w:right w:val="nil"/>
            </w:tcBorders>
            <w:shd w:val="clear" w:color="auto" w:fill="auto"/>
            <w:noWrap/>
            <w:vAlign w:val="bottom"/>
            <w:hideMark/>
          </w:tcPr>
          <w:p w14:paraId="3434C08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52.412***</w:t>
            </w:r>
          </w:p>
        </w:tc>
        <w:tc>
          <w:tcPr>
            <w:tcW w:w="0" w:type="auto"/>
            <w:tcBorders>
              <w:top w:val="nil"/>
              <w:left w:val="nil"/>
              <w:bottom w:val="nil"/>
              <w:right w:val="nil"/>
            </w:tcBorders>
            <w:shd w:val="clear" w:color="auto" w:fill="auto"/>
            <w:noWrap/>
            <w:vAlign w:val="bottom"/>
            <w:hideMark/>
          </w:tcPr>
          <w:p w14:paraId="66CBA422"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46.106***</w:t>
            </w:r>
          </w:p>
        </w:tc>
        <w:tc>
          <w:tcPr>
            <w:tcW w:w="0" w:type="auto"/>
            <w:tcBorders>
              <w:top w:val="nil"/>
              <w:left w:val="nil"/>
              <w:bottom w:val="nil"/>
              <w:right w:val="nil"/>
            </w:tcBorders>
            <w:shd w:val="clear" w:color="auto" w:fill="auto"/>
            <w:noWrap/>
            <w:vAlign w:val="bottom"/>
            <w:hideMark/>
          </w:tcPr>
          <w:p w14:paraId="2D648E0F"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36.635***</w:t>
            </w:r>
          </w:p>
        </w:tc>
        <w:tc>
          <w:tcPr>
            <w:tcW w:w="0" w:type="auto"/>
            <w:tcBorders>
              <w:top w:val="nil"/>
              <w:left w:val="nil"/>
              <w:bottom w:val="nil"/>
              <w:right w:val="nil"/>
            </w:tcBorders>
            <w:shd w:val="clear" w:color="auto" w:fill="auto"/>
            <w:noWrap/>
            <w:vAlign w:val="bottom"/>
            <w:hideMark/>
          </w:tcPr>
          <w:p w14:paraId="05AAA9E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30.312***</w:t>
            </w:r>
          </w:p>
        </w:tc>
        <w:tc>
          <w:tcPr>
            <w:tcW w:w="1614" w:type="dxa"/>
            <w:tcBorders>
              <w:top w:val="nil"/>
              <w:left w:val="nil"/>
              <w:bottom w:val="nil"/>
              <w:right w:val="nil"/>
            </w:tcBorders>
            <w:shd w:val="clear" w:color="auto" w:fill="auto"/>
            <w:noWrap/>
            <w:vAlign w:val="bottom"/>
            <w:hideMark/>
          </w:tcPr>
          <w:p w14:paraId="7F4484D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96.085***</w:t>
            </w:r>
          </w:p>
        </w:tc>
      </w:tr>
      <w:tr w:rsidR="00145CBF" w:rsidRPr="00145CBF" w14:paraId="48859F26" w14:textId="77777777" w:rsidTr="00145CBF">
        <w:trPr>
          <w:trHeight w:val="280"/>
        </w:trPr>
        <w:tc>
          <w:tcPr>
            <w:tcW w:w="0" w:type="auto"/>
            <w:tcBorders>
              <w:top w:val="nil"/>
              <w:left w:val="nil"/>
              <w:bottom w:val="nil"/>
              <w:right w:val="nil"/>
            </w:tcBorders>
            <w:shd w:val="clear" w:color="auto" w:fill="auto"/>
            <w:noWrap/>
            <w:vAlign w:val="bottom"/>
            <w:hideMark/>
          </w:tcPr>
          <w:p w14:paraId="4FFBE985"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0E3A7D6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(13.837)</w:t>
            </w:r>
          </w:p>
        </w:tc>
        <w:tc>
          <w:tcPr>
            <w:tcW w:w="0" w:type="auto"/>
            <w:tcBorders>
              <w:top w:val="nil"/>
              <w:left w:val="nil"/>
              <w:bottom w:val="nil"/>
              <w:right w:val="nil"/>
            </w:tcBorders>
            <w:shd w:val="clear" w:color="auto" w:fill="auto"/>
            <w:noWrap/>
            <w:vAlign w:val="bottom"/>
            <w:hideMark/>
          </w:tcPr>
          <w:p w14:paraId="74EA442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(3.259)</w:t>
            </w:r>
          </w:p>
        </w:tc>
        <w:tc>
          <w:tcPr>
            <w:tcW w:w="0" w:type="auto"/>
            <w:tcBorders>
              <w:top w:val="nil"/>
              <w:left w:val="nil"/>
              <w:bottom w:val="nil"/>
              <w:right w:val="nil"/>
            </w:tcBorders>
            <w:shd w:val="clear" w:color="auto" w:fill="auto"/>
            <w:noWrap/>
            <w:vAlign w:val="bottom"/>
            <w:hideMark/>
          </w:tcPr>
          <w:p w14:paraId="5A4503DA"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(2.137)</w:t>
            </w:r>
          </w:p>
        </w:tc>
        <w:tc>
          <w:tcPr>
            <w:tcW w:w="0" w:type="auto"/>
            <w:tcBorders>
              <w:top w:val="nil"/>
              <w:left w:val="nil"/>
              <w:bottom w:val="nil"/>
              <w:right w:val="nil"/>
            </w:tcBorders>
            <w:shd w:val="clear" w:color="auto" w:fill="auto"/>
            <w:noWrap/>
            <w:vAlign w:val="bottom"/>
            <w:hideMark/>
          </w:tcPr>
          <w:p w14:paraId="24B195E4"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(2.277)</w:t>
            </w:r>
          </w:p>
        </w:tc>
        <w:tc>
          <w:tcPr>
            <w:tcW w:w="0" w:type="auto"/>
            <w:tcBorders>
              <w:top w:val="nil"/>
              <w:left w:val="nil"/>
              <w:bottom w:val="nil"/>
              <w:right w:val="nil"/>
            </w:tcBorders>
            <w:shd w:val="clear" w:color="auto" w:fill="auto"/>
            <w:noWrap/>
            <w:vAlign w:val="bottom"/>
            <w:hideMark/>
          </w:tcPr>
          <w:p w14:paraId="4BD0218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(2.380)</w:t>
            </w:r>
          </w:p>
        </w:tc>
        <w:tc>
          <w:tcPr>
            <w:tcW w:w="1614" w:type="dxa"/>
            <w:tcBorders>
              <w:top w:val="nil"/>
              <w:left w:val="nil"/>
              <w:bottom w:val="nil"/>
              <w:right w:val="nil"/>
            </w:tcBorders>
            <w:shd w:val="clear" w:color="auto" w:fill="auto"/>
            <w:noWrap/>
            <w:vAlign w:val="bottom"/>
            <w:hideMark/>
          </w:tcPr>
          <w:p w14:paraId="0AA3C9E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(13.837)</w:t>
            </w:r>
          </w:p>
        </w:tc>
      </w:tr>
      <w:tr w:rsidR="00145CBF" w:rsidRPr="00145CBF" w14:paraId="3743EFA3" w14:textId="77777777" w:rsidTr="00145CBF">
        <w:trPr>
          <w:trHeight w:val="280"/>
        </w:trPr>
        <w:tc>
          <w:tcPr>
            <w:tcW w:w="0" w:type="auto"/>
            <w:tcBorders>
              <w:top w:val="nil"/>
              <w:left w:val="nil"/>
              <w:bottom w:val="nil"/>
              <w:right w:val="nil"/>
            </w:tcBorders>
            <w:shd w:val="clear" w:color="auto" w:fill="auto"/>
            <w:noWrap/>
            <w:vAlign w:val="bottom"/>
            <w:hideMark/>
          </w:tcPr>
          <w:p w14:paraId="493754CA" w14:textId="77777777" w:rsidR="00145CBF" w:rsidRPr="00145CBF" w:rsidRDefault="00145CBF" w:rsidP="00145CBF">
            <w:pPr>
              <w:jc w:val="center"/>
              <w:rPr>
                <w:rFonts w:ascii="Calibri" w:eastAsia="Times New Roman" w:hAnsi="Calibri" w:cs="Calibri"/>
                <w:sz w:val="20"/>
                <w:szCs w:val="20"/>
              </w:rPr>
            </w:pPr>
          </w:p>
        </w:tc>
        <w:tc>
          <w:tcPr>
            <w:tcW w:w="0" w:type="auto"/>
            <w:tcBorders>
              <w:top w:val="nil"/>
              <w:left w:val="nil"/>
              <w:bottom w:val="nil"/>
              <w:right w:val="nil"/>
            </w:tcBorders>
            <w:shd w:val="clear" w:color="auto" w:fill="auto"/>
            <w:noWrap/>
            <w:vAlign w:val="bottom"/>
            <w:hideMark/>
          </w:tcPr>
          <w:p w14:paraId="6ABC9702" w14:textId="77777777" w:rsidR="00145CBF" w:rsidRPr="00145CBF" w:rsidRDefault="00145CBF" w:rsidP="00145CBF">
            <w:pP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5FFA0875" w14:textId="77777777" w:rsidR="00145CBF" w:rsidRPr="00145CBF" w:rsidRDefault="00145CBF" w:rsidP="00145CBF">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16235D74" w14:textId="77777777" w:rsidR="00145CBF" w:rsidRPr="00145CBF" w:rsidRDefault="00145CBF" w:rsidP="00145CBF">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65C4E2A9" w14:textId="77777777" w:rsidR="00145CBF" w:rsidRPr="00145CBF" w:rsidRDefault="00145CBF" w:rsidP="00145CBF">
            <w:pPr>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bottom"/>
            <w:hideMark/>
          </w:tcPr>
          <w:p w14:paraId="4D385E16" w14:textId="77777777" w:rsidR="00145CBF" w:rsidRPr="00145CBF" w:rsidRDefault="00145CBF" w:rsidP="00145CBF">
            <w:pPr>
              <w:jc w:val="center"/>
              <w:rPr>
                <w:rFonts w:ascii="Times New Roman" w:eastAsia="Times New Roman" w:hAnsi="Times New Roman" w:cs="Times New Roman"/>
                <w:sz w:val="20"/>
                <w:szCs w:val="20"/>
              </w:rPr>
            </w:pPr>
          </w:p>
        </w:tc>
        <w:tc>
          <w:tcPr>
            <w:tcW w:w="1614" w:type="dxa"/>
            <w:tcBorders>
              <w:top w:val="nil"/>
              <w:left w:val="nil"/>
              <w:bottom w:val="nil"/>
              <w:right w:val="nil"/>
            </w:tcBorders>
            <w:shd w:val="clear" w:color="auto" w:fill="auto"/>
            <w:noWrap/>
            <w:vAlign w:val="bottom"/>
            <w:hideMark/>
          </w:tcPr>
          <w:p w14:paraId="067E5307" w14:textId="77777777" w:rsidR="00145CBF" w:rsidRPr="00145CBF" w:rsidRDefault="00145CBF" w:rsidP="00145CBF">
            <w:pPr>
              <w:jc w:val="center"/>
              <w:rPr>
                <w:rFonts w:ascii="Times New Roman" w:eastAsia="Times New Roman" w:hAnsi="Times New Roman" w:cs="Times New Roman"/>
                <w:sz w:val="20"/>
                <w:szCs w:val="20"/>
              </w:rPr>
            </w:pPr>
          </w:p>
        </w:tc>
      </w:tr>
      <w:tr w:rsidR="00145CBF" w:rsidRPr="00145CBF" w14:paraId="58238151" w14:textId="77777777" w:rsidTr="00145CBF">
        <w:trPr>
          <w:trHeight w:val="280"/>
        </w:trPr>
        <w:tc>
          <w:tcPr>
            <w:tcW w:w="0" w:type="auto"/>
            <w:tcBorders>
              <w:top w:val="nil"/>
              <w:left w:val="nil"/>
              <w:bottom w:val="nil"/>
              <w:right w:val="nil"/>
            </w:tcBorders>
            <w:shd w:val="clear" w:color="auto" w:fill="auto"/>
            <w:noWrap/>
            <w:vAlign w:val="bottom"/>
            <w:hideMark/>
          </w:tcPr>
          <w:p w14:paraId="444D0D9E"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Observations</w:t>
            </w:r>
          </w:p>
        </w:tc>
        <w:tc>
          <w:tcPr>
            <w:tcW w:w="0" w:type="auto"/>
            <w:tcBorders>
              <w:top w:val="nil"/>
              <w:left w:val="nil"/>
              <w:bottom w:val="nil"/>
              <w:right w:val="nil"/>
            </w:tcBorders>
            <w:shd w:val="clear" w:color="auto" w:fill="auto"/>
            <w:noWrap/>
            <w:vAlign w:val="bottom"/>
            <w:hideMark/>
          </w:tcPr>
          <w:p w14:paraId="5B10323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5,494</w:t>
            </w:r>
          </w:p>
        </w:tc>
        <w:tc>
          <w:tcPr>
            <w:tcW w:w="0" w:type="auto"/>
            <w:tcBorders>
              <w:top w:val="nil"/>
              <w:left w:val="nil"/>
              <w:bottom w:val="nil"/>
              <w:right w:val="nil"/>
            </w:tcBorders>
            <w:shd w:val="clear" w:color="auto" w:fill="auto"/>
            <w:noWrap/>
            <w:vAlign w:val="bottom"/>
            <w:hideMark/>
          </w:tcPr>
          <w:p w14:paraId="1763AE0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5,494</w:t>
            </w:r>
          </w:p>
        </w:tc>
        <w:tc>
          <w:tcPr>
            <w:tcW w:w="0" w:type="auto"/>
            <w:tcBorders>
              <w:top w:val="nil"/>
              <w:left w:val="nil"/>
              <w:bottom w:val="nil"/>
              <w:right w:val="nil"/>
            </w:tcBorders>
            <w:shd w:val="clear" w:color="auto" w:fill="auto"/>
            <w:noWrap/>
            <w:vAlign w:val="bottom"/>
            <w:hideMark/>
          </w:tcPr>
          <w:p w14:paraId="6617AC3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5,489</w:t>
            </w:r>
          </w:p>
        </w:tc>
        <w:tc>
          <w:tcPr>
            <w:tcW w:w="0" w:type="auto"/>
            <w:tcBorders>
              <w:top w:val="nil"/>
              <w:left w:val="nil"/>
              <w:bottom w:val="nil"/>
              <w:right w:val="nil"/>
            </w:tcBorders>
            <w:shd w:val="clear" w:color="auto" w:fill="auto"/>
            <w:noWrap/>
            <w:vAlign w:val="bottom"/>
            <w:hideMark/>
          </w:tcPr>
          <w:p w14:paraId="35368EE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5,494</w:t>
            </w:r>
          </w:p>
        </w:tc>
        <w:tc>
          <w:tcPr>
            <w:tcW w:w="0" w:type="auto"/>
            <w:tcBorders>
              <w:top w:val="nil"/>
              <w:left w:val="nil"/>
              <w:bottom w:val="nil"/>
              <w:right w:val="nil"/>
            </w:tcBorders>
            <w:shd w:val="clear" w:color="auto" w:fill="auto"/>
            <w:noWrap/>
            <w:vAlign w:val="bottom"/>
            <w:hideMark/>
          </w:tcPr>
          <w:p w14:paraId="0913F98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5,494</w:t>
            </w:r>
          </w:p>
        </w:tc>
        <w:tc>
          <w:tcPr>
            <w:tcW w:w="1614" w:type="dxa"/>
            <w:tcBorders>
              <w:top w:val="nil"/>
              <w:left w:val="nil"/>
              <w:bottom w:val="nil"/>
              <w:right w:val="nil"/>
            </w:tcBorders>
            <w:shd w:val="clear" w:color="auto" w:fill="auto"/>
            <w:noWrap/>
            <w:vAlign w:val="bottom"/>
            <w:hideMark/>
          </w:tcPr>
          <w:p w14:paraId="5E5759F9"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5,494</w:t>
            </w:r>
          </w:p>
        </w:tc>
      </w:tr>
      <w:tr w:rsidR="00145CBF" w:rsidRPr="00145CBF" w14:paraId="56FE2FC3" w14:textId="77777777" w:rsidTr="00145CBF">
        <w:trPr>
          <w:trHeight w:val="280"/>
        </w:trPr>
        <w:tc>
          <w:tcPr>
            <w:tcW w:w="0" w:type="auto"/>
            <w:tcBorders>
              <w:top w:val="nil"/>
              <w:left w:val="nil"/>
              <w:bottom w:val="nil"/>
              <w:right w:val="nil"/>
            </w:tcBorders>
            <w:shd w:val="clear" w:color="auto" w:fill="auto"/>
            <w:noWrap/>
            <w:vAlign w:val="bottom"/>
            <w:hideMark/>
          </w:tcPr>
          <w:p w14:paraId="6524F4CA" w14:textId="77777777"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R-squared</w:t>
            </w:r>
          </w:p>
        </w:tc>
        <w:tc>
          <w:tcPr>
            <w:tcW w:w="0" w:type="auto"/>
            <w:tcBorders>
              <w:top w:val="nil"/>
              <w:left w:val="nil"/>
              <w:bottom w:val="nil"/>
              <w:right w:val="nil"/>
            </w:tcBorders>
            <w:shd w:val="clear" w:color="auto" w:fill="auto"/>
            <w:noWrap/>
            <w:vAlign w:val="bottom"/>
            <w:hideMark/>
          </w:tcPr>
          <w:p w14:paraId="55CFC698"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0.628</w:t>
            </w:r>
          </w:p>
        </w:tc>
        <w:tc>
          <w:tcPr>
            <w:tcW w:w="0" w:type="auto"/>
            <w:tcBorders>
              <w:top w:val="nil"/>
              <w:left w:val="nil"/>
              <w:bottom w:val="nil"/>
              <w:right w:val="nil"/>
            </w:tcBorders>
            <w:shd w:val="clear" w:color="auto" w:fill="auto"/>
            <w:noWrap/>
            <w:vAlign w:val="bottom"/>
            <w:hideMark/>
          </w:tcPr>
          <w:p w14:paraId="1F028D9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0.791</w:t>
            </w:r>
          </w:p>
        </w:tc>
        <w:tc>
          <w:tcPr>
            <w:tcW w:w="0" w:type="auto"/>
            <w:tcBorders>
              <w:top w:val="nil"/>
              <w:left w:val="nil"/>
              <w:bottom w:val="nil"/>
              <w:right w:val="nil"/>
            </w:tcBorders>
            <w:shd w:val="clear" w:color="auto" w:fill="auto"/>
            <w:noWrap/>
            <w:vAlign w:val="bottom"/>
            <w:hideMark/>
          </w:tcPr>
          <w:p w14:paraId="3FFD86B5"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0.395</w:t>
            </w:r>
          </w:p>
        </w:tc>
        <w:tc>
          <w:tcPr>
            <w:tcW w:w="0" w:type="auto"/>
            <w:tcBorders>
              <w:top w:val="nil"/>
              <w:left w:val="nil"/>
              <w:bottom w:val="nil"/>
              <w:right w:val="nil"/>
            </w:tcBorders>
            <w:shd w:val="clear" w:color="auto" w:fill="auto"/>
            <w:noWrap/>
            <w:vAlign w:val="bottom"/>
            <w:hideMark/>
          </w:tcPr>
          <w:p w14:paraId="7C25ACD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0.758</w:t>
            </w:r>
          </w:p>
        </w:tc>
        <w:tc>
          <w:tcPr>
            <w:tcW w:w="0" w:type="auto"/>
            <w:tcBorders>
              <w:top w:val="nil"/>
              <w:left w:val="nil"/>
              <w:bottom w:val="nil"/>
              <w:right w:val="nil"/>
            </w:tcBorders>
            <w:shd w:val="clear" w:color="auto" w:fill="auto"/>
            <w:noWrap/>
            <w:vAlign w:val="bottom"/>
            <w:hideMark/>
          </w:tcPr>
          <w:p w14:paraId="4C647AD6"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0.386</w:t>
            </w:r>
          </w:p>
        </w:tc>
        <w:tc>
          <w:tcPr>
            <w:tcW w:w="1614" w:type="dxa"/>
            <w:tcBorders>
              <w:top w:val="nil"/>
              <w:left w:val="nil"/>
              <w:bottom w:val="nil"/>
              <w:right w:val="nil"/>
            </w:tcBorders>
            <w:shd w:val="clear" w:color="auto" w:fill="auto"/>
            <w:noWrap/>
            <w:vAlign w:val="bottom"/>
            <w:hideMark/>
          </w:tcPr>
          <w:p w14:paraId="45C94F90"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0.628</w:t>
            </w:r>
          </w:p>
        </w:tc>
      </w:tr>
      <w:tr w:rsidR="00145CBF" w:rsidRPr="00145CBF" w14:paraId="5E289087" w14:textId="77777777" w:rsidTr="00145CBF">
        <w:trPr>
          <w:trHeight w:val="280"/>
        </w:trPr>
        <w:tc>
          <w:tcPr>
            <w:tcW w:w="0" w:type="auto"/>
            <w:tcBorders>
              <w:top w:val="nil"/>
              <w:left w:val="nil"/>
              <w:bottom w:val="single" w:sz="4" w:space="0" w:color="000000"/>
              <w:right w:val="nil"/>
            </w:tcBorders>
            <w:shd w:val="clear" w:color="auto" w:fill="auto"/>
            <w:noWrap/>
            <w:vAlign w:val="bottom"/>
            <w:hideMark/>
          </w:tcPr>
          <w:p w14:paraId="707B2D9E" w14:textId="6472872A" w:rsidR="00145CBF" w:rsidRPr="00145CBF" w:rsidRDefault="00145CBF" w:rsidP="00145CBF">
            <w:pPr>
              <w:rPr>
                <w:rFonts w:ascii="Calibri" w:eastAsia="Times New Roman" w:hAnsi="Calibri" w:cs="Calibri"/>
                <w:sz w:val="20"/>
                <w:szCs w:val="20"/>
              </w:rPr>
            </w:pPr>
            <w:r w:rsidRPr="00145CBF">
              <w:rPr>
                <w:rFonts w:ascii="Calibri" w:eastAsia="Times New Roman" w:hAnsi="Calibri" w:cs="Calibri"/>
                <w:sz w:val="20"/>
                <w:szCs w:val="20"/>
              </w:rPr>
              <w:t xml:space="preserve">Number of </w:t>
            </w:r>
            <w:r>
              <w:rPr>
                <w:rFonts w:ascii="Calibri" w:eastAsia="Times New Roman" w:hAnsi="Calibri" w:cs="Calibri"/>
                <w:sz w:val="20"/>
                <w:szCs w:val="20"/>
              </w:rPr>
              <w:t>countries</w:t>
            </w:r>
          </w:p>
        </w:tc>
        <w:tc>
          <w:tcPr>
            <w:tcW w:w="0" w:type="auto"/>
            <w:tcBorders>
              <w:top w:val="nil"/>
              <w:left w:val="nil"/>
              <w:bottom w:val="single" w:sz="4" w:space="0" w:color="000000"/>
              <w:right w:val="nil"/>
            </w:tcBorders>
            <w:shd w:val="clear" w:color="auto" w:fill="auto"/>
            <w:noWrap/>
            <w:vAlign w:val="bottom"/>
            <w:hideMark/>
          </w:tcPr>
          <w:p w14:paraId="4092082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3D5070E7"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52081D7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1C6040DE"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c>
          <w:tcPr>
            <w:tcW w:w="0" w:type="auto"/>
            <w:tcBorders>
              <w:top w:val="nil"/>
              <w:left w:val="nil"/>
              <w:bottom w:val="single" w:sz="4" w:space="0" w:color="000000"/>
              <w:right w:val="nil"/>
            </w:tcBorders>
            <w:shd w:val="clear" w:color="auto" w:fill="auto"/>
            <w:noWrap/>
            <w:vAlign w:val="bottom"/>
            <w:hideMark/>
          </w:tcPr>
          <w:p w14:paraId="33A5532D"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c>
          <w:tcPr>
            <w:tcW w:w="1614" w:type="dxa"/>
            <w:tcBorders>
              <w:top w:val="nil"/>
              <w:left w:val="nil"/>
              <w:bottom w:val="single" w:sz="4" w:space="0" w:color="000000"/>
              <w:right w:val="nil"/>
            </w:tcBorders>
            <w:shd w:val="clear" w:color="auto" w:fill="auto"/>
            <w:noWrap/>
            <w:vAlign w:val="bottom"/>
            <w:hideMark/>
          </w:tcPr>
          <w:p w14:paraId="6874A69C" w14:textId="77777777" w:rsidR="00145CBF" w:rsidRPr="00145CBF" w:rsidRDefault="00145CBF" w:rsidP="00145CBF">
            <w:pPr>
              <w:jc w:val="center"/>
              <w:rPr>
                <w:rFonts w:ascii="Calibri" w:eastAsia="Times New Roman" w:hAnsi="Calibri" w:cs="Calibri"/>
                <w:sz w:val="20"/>
                <w:szCs w:val="20"/>
              </w:rPr>
            </w:pPr>
            <w:r w:rsidRPr="00145CBF">
              <w:rPr>
                <w:rFonts w:ascii="Calibri" w:eastAsia="Times New Roman" w:hAnsi="Calibri" w:cs="Calibri"/>
                <w:sz w:val="20"/>
                <w:szCs w:val="20"/>
              </w:rPr>
              <w:t>36</w:t>
            </w:r>
          </w:p>
        </w:tc>
      </w:tr>
    </w:tbl>
    <w:p w14:paraId="6761F31C" w14:textId="59152D50" w:rsidR="006C109B" w:rsidRDefault="006C109B" w:rsidP="00AD7857">
      <w:pPr>
        <w:spacing w:line="480" w:lineRule="auto"/>
        <w:rPr>
          <w:rFonts w:ascii="Garamond" w:hAnsi="Garamond" w:cs="Times New Roman"/>
          <w:b/>
        </w:rPr>
      </w:pPr>
    </w:p>
    <w:p w14:paraId="59582A7C" w14:textId="77777777" w:rsidR="00145CBF" w:rsidRDefault="00145CBF" w:rsidP="00145CBF">
      <w:pPr>
        <w:spacing w:line="480" w:lineRule="auto"/>
        <w:rPr>
          <w:rFonts w:ascii="Calibri" w:eastAsia="Times New Roman" w:hAnsi="Calibri" w:cs="Calibri"/>
          <w:sz w:val="20"/>
          <w:szCs w:val="20"/>
        </w:rPr>
      </w:pPr>
      <w:r w:rsidRPr="009D5719">
        <w:rPr>
          <w:rFonts w:ascii="Calibri" w:eastAsia="Times New Roman" w:hAnsi="Calibri" w:cs="Calibri"/>
          <w:sz w:val="20"/>
          <w:szCs w:val="20"/>
        </w:rPr>
        <w:t>Robust standard errors in parentheses</w:t>
      </w:r>
    </w:p>
    <w:p w14:paraId="2662B8FB" w14:textId="77777777" w:rsidR="00145CBF" w:rsidRDefault="00145CBF" w:rsidP="00145CBF">
      <w:pPr>
        <w:rPr>
          <w:rFonts w:ascii="Calibri" w:eastAsia="Times New Roman" w:hAnsi="Calibri" w:cs="Calibri"/>
          <w:sz w:val="20"/>
          <w:szCs w:val="20"/>
        </w:rPr>
      </w:pPr>
      <w:r w:rsidRPr="009D5719">
        <w:rPr>
          <w:rFonts w:ascii="Calibri" w:eastAsia="Times New Roman" w:hAnsi="Calibri" w:cs="Calibri"/>
          <w:sz w:val="20"/>
          <w:szCs w:val="20"/>
        </w:rPr>
        <w:t>*** p&lt;0.01, ** p&lt;0.05, * p&lt;0.1</w:t>
      </w:r>
    </w:p>
    <w:p w14:paraId="0D813400" w14:textId="51DECF18" w:rsidR="00C2470B" w:rsidRDefault="00C2470B" w:rsidP="00AD7857">
      <w:pPr>
        <w:spacing w:line="480" w:lineRule="auto"/>
        <w:rPr>
          <w:rFonts w:ascii="Garamond" w:hAnsi="Garamond" w:cs="Times New Roman"/>
          <w:b/>
        </w:rPr>
      </w:pPr>
    </w:p>
    <w:p w14:paraId="6BBBB0B8" w14:textId="77777777" w:rsidR="00145CBF" w:rsidRDefault="00145CBF" w:rsidP="00AD7857">
      <w:pPr>
        <w:spacing w:line="480" w:lineRule="auto"/>
        <w:rPr>
          <w:rFonts w:ascii="Garamond" w:hAnsi="Garamond" w:cs="Times New Roman"/>
          <w:b/>
        </w:rPr>
      </w:pPr>
    </w:p>
    <w:p w14:paraId="1A85DC1C" w14:textId="1C59CDAE" w:rsidR="00C2470B" w:rsidRDefault="00C2470B" w:rsidP="00AD7857">
      <w:pPr>
        <w:spacing w:line="480" w:lineRule="auto"/>
        <w:rPr>
          <w:rFonts w:ascii="Garamond" w:hAnsi="Garamond" w:cs="Times New Roman"/>
          <w:b/>
        </w:rPr>
      </w:pPr>
    </w:p>
    <w:p w14:paraId="3C3445D5" w14:textId="2FD69C46" w:rsidR="00C2470B" w:rsidRPr="00C2470B" w:rsidRDefault="00C2470B" w:rsidP="00AD7857">
      <w:pPr>
        <w:spacing w:line="480" w:lineRule="auto"/>
        <w:rPr>
          <w:rFonts w:ascii="Garamond" w:hAnsi="Garamond" w:cs="Times New Roman"/>
          <w:b/>
          <w:sz w:val="32"/>
          <w:szCs w:val="32"/>
        </w:rPr>
      </w:pPr>
      <w:r w:rsidRPr="00C2470B">
        <w:rPr>
          <w:rFonts w:ascii="Garamond" w:hAnsi="Garamond" w:cs="Times New Roman"/>
          <w:b/>
          <w:sz w:val="32"/>
          <w:szCs w:val="32"/>
        </w:rPr>
        <w:lastRenderedPageBreak/>
        <w:t>Figures</w:t>
      </w:r>
    </w:p>
    <w:p w14:paraId="5735F269" w14:textId="77777777" w:rsidR="00C2470B" w:rsidRDefault="00C2470B" w:rsidP="00AD7857">
      <w:pPr>
        <w:spacing w:line="480" w:lineRule="auto"/>
        <w:rPr>
          <w:rFonts w:ascii="Garamond" w:hAnsi="Garamond" w:cs="Times New Roman"/>
          <w:b/>
        </w:rPr>
      </w:pPr>
    </w:p>
    <w:p w14:paraId="61F5FB2F" w14:textId="237D83BE" w:rsidR="00AD7857" w:rsidRPr="00813173" w:rsidRDefault="00AD7857" w:rsidP="00AD7857">
      <w:pPr>
        <w:spacing w:line="480" w:lineRule="auto"/>
        <w:rPr>
          <w:rFonts w:ascii="Garamond" w:hAnsi="Garamond" w:cs="Times New Roman"/>
          <w:b/>
        </w:rPr>
      </w:pPr>
      <w:r w:rsidRPr="00813173">
        <w:rPr>
          <w:rFonts w:ascii="Garamond" w:hAnsi="Garamond" w:cs="Times New Roman"/>
          <w:b/>
        </w:rPr>
        <w:t xml:space="preserve">Figure 1. The </w:t>
      </w:r>
      <w:r>
        <w:rPr>
          <w:rFonts w:ascii="Garamond" w:hAnsi="Garamond" w:cs="Times New Roman"/>
          <w:b/>
        </w:rPr>
        <w:t>S</w:t>
      </w:r>
      <w:r w:rsidRPr="00813173">
        <w:rPr>
          <w:rFonts w:ascii="Garamond" w:hAnsi="Garamond" w:cs="Times New Roman"/>
          <w:b/>
        </w:rPr>
        <w:t xml:space="preserve">tart of the </w:t>
      </w:r>
      <w:r>
        <w:rPr>
          <w:rFonts w:ascii="Garamond" w:hAnsi="Garamond" w:cs="Times New Roman"/>
          <w:b/>
        </w:rPr>
        <w:t>Epidemic</w:t>
      </w:r>
      <w:r w:rsidRPr="00813173">
        <w:rPr>
          <w:rFonts w:ascii="Garamond" w:hAnsi="Garamond" w:cs="Times New Roman"/>
          <w:b/>
        </w:rPr>
        <w:t xml:space="preserve"> </w:t>
      </w:r>
      <w:r>
        <w:rPr>
          <w:rFonts w:ascii="Garamond" w:hAnsi="Garamond" w:cs="Times New Roman"/>
          <w:b/>
        </w:rPr>
        <w:t>for Each Country in Sample (first day with greater than 2 cases per million)</w:t>
      </w:r>
    </w:p>
    <w:p w14:paraId="34B21F87" w14:textId="77777777" w:rsidR="00AD7857" w:rsidRDefault="00AD7857" w:rsidP="00AD7857">
      <w:pPr>
        <w:spacing w:line="480" w:lineRule="auto"/>
        <w:rPr>
          <w:rFonts w:ascii="Garamond" w:hAnsi="Garamond" w:cs="Times New Roman"/>
        </w:rPr>
      </w:pPr>
      <w:r w:rsidRPr="00813173">
        <w:rPr>
          <w:rFonts w:ascii="Garamond" w:hAnsi="Garamond"/>
          <w:noProof/>
        </w:rPr>
        <w:drawing>
          <wp:inline distT="0" distB="0" distL="0" distR="0" wp14:anchorId="7033FEA3" wp14:editId="5B8A4183">
            <wp:extent cx="3962883" cy="2882097"/>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80742" cy="2895085"/>
                    </a:xfrm>
                    <a:prstGeom prst="rect">
                      <a:avLst/>
                    </a:prstGeom>
                  </pic:spPr>
                </pic:pic>
              </a:graphicData>
            </a:graphic>
          </wp:inline>
        </w:drawing>
      </w:r>
    </w:p>
    <w:p w14:paraId="307055A3" w14:textId="6FD56E1B" w:rsidR="00AD7857" w:rsidRDefault="00AD7857" w:rsidP="00AD7857">
      <w:pPr>
        <w:spacing w:line="480" w:lineRule="auto"/>
        <w:rPr>
          <w:rFonts w:ascii="Garamond" w:hAnsi="Garamond" w:cs="Times New Roman"/>
        </w:rPr>
      </w:pPr>
    </w:p>
    <w:p w14:paraId="69EE029C" w14:textId="2C0370C7" w:rsidR="00BB2CD3" w:rsidRDefault="00A70486" w:rsidP="00AD7857">
      <w:pPr>
        <w:spacing w:line="480" w:lineRule="auto"/>
        <w:rPr>
          <w:rFonts w:ascii="Garamond" w:hAnsi="Garamond" w:cs="Times New Roman"/>
          <w:b/>
          <w:bCs/>
        </w:rPr>
      </w:pPr>
      <w:r w:rsidRPr="00A70486">
        <w:rPr>
          <w:rFonts w:ascii="Garamond" w:hAnsi="Garamond" w:cs="Times New Roman"/>
          <w:b/>
          <w:bCs/>
        </w:rPr>
        <w:t xml:space="preserve">Figure 2: </w:t>
      </w:r>
      <w:r>
        <w:rPr>
          <w:rFonts w:ascii="Garamond" w:hAnsi="Garamond" w:cs="Times New Roman"/>
          <w:b/>
          <w:bCs/>
        </w:rPr>
        <w:t>Change in New Cases per Million Over Time</w:t>
      </w:r>
    </w:p>
    <w:p w14:paraId="023CEB95" w14:textId="77777777" w:rsidR="00432939" w:rsidRDefault="00A70486" w:rsidP="00BB2CD3">
      <w:pPr>
        <w:spacing w:line="480" w:lineRule="auto"/>
        <w:rPr>
          <w:rFonts w:ascii="Garamond" w:hAnsi="Garamond" w:cs="Times New Roman"/>
          <w:b/>
          <w:bCs/>
        </w:rPr>
      </w:pPr>
      <w:r w:rsidRPr="00A70486">
        <w:rPr>
          <w:rFonts w:ascii="Garamond" w:hAnsi="Garamond" w:cs="Times New Roman"/>
          <w:b/>
          <w:bCs/>
          <w:noProof/>
        </w:rPr>
        <w:drawing>
          <wp:inline distT="0" distB="0" distL="0" distR="0" wp14:anchorId="6C0F78CF" wp14:editId="7F19FEB4">
            <wp:extent cx="3935392" cy="2862104"/>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45301" cy="2869310"/>
                    </a:xfrm>
                    <a:prstGeom prst="rect">
                      <a:avLst/>
                    </a:prstGeom>
                  </pic:spPr>
                </pic:pic>
              </a:graphicData>
            </a:graphic>
          </wp:inline>
        </w:drawing>
      </w:r>
    </w:p>
    <w:p w14:paraId="32E7AAEB" w14:textId="630998EF" w:rsidR="00BB2CD3" w:rsidRDefault="00AD7857" w:rsidP="00BB2CD3">
      <w:pPr>
        <w:spacing w:line="480" w:lineRule="auto"/>
        <w:rPr>
          <w:rFonts w:ascii="Garamond" w:hAnsi="Garamond" w:cs="Times New Roman"/>
          <w:b/>
          <w:bCs/>
        </w:rPr>
      </w:pPr>
      <w:r>
        <w:rPr>
          <w:rFonts w:ascii="Garamond" w:hAnsi="Garamond" w:cs="Times New Roman"/>
          <w:b/>
          <w:bCs/>
        </w:rPr>
        <w:lastRenderedPageBreak/>
        <w:t xml:space="preserve">Figure </w:t>
      </w:r>
      <w:r w:rsidR="00A70486">
        <w:rPr>
          <w:rFonts w:ascii="Garamond" w:hAnsi="Garamond" w:cs="Times New Roman"/>
          <w:b/>
          <w:bCs/>
        </w:rPr>
        <w:t>3</w:t>
      </w:r>
      <w:r>
        <w:rPr>
          <w:rFonts w:ascii="Garamond" w:hAnsi="Garamond" w:cs="Times New Roman"/>
          <w:b/>
          <w:bCs/>
        </w:rPr>
        <w:t xml:space="preserve">: Change in </w:t>
      </w:r>
      <w:r w:rsidR="00BB2CD3">
        <w:rPr>
          <w:rFonts w:ascii="Garamond" w:hAnsi="Garamond" w:cs="Times New Roman"/>
          <w:b/>
          <w:bCs/>
        </w:rPr>
        <w:t>Mobility Indices Over Time, Estimated Quartic Polynomial Fit</w:t>
      </w:r>
    </w:p>
    <w:tbl>
      <w:tblPr>
        <w:tblStyle w:val="TableGrid"/>
        <w:tblW w:w="1023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4"/>
        <w:gridCol w:w="4896"/>
      </w:tblGrid>
      <w:tr w:rsidR="00AD006B" w14:paraId="60373DD8" w14:textId="77777777" w:rsidTr="003075CB">
        <w:tc>
          <w:tcPr>
            <w:tcW w:w="5334" w:type="dxa"/>
          </w:tcPr>
          <w:p w14:paraId="473FF573" w14:textId="4ED52659" w:rsidR="00BB2CD3" w:rsidRDefault="00AD006B" w:rsidP="00BB2CD3">
            <w:pPr>
              <w:spacing w:line="480" w:lineRule="auto"/>
              <w:jc w:val="center"/>
              <w:rPr>
                <w:rFonts w:ascii="Garamond" w:hAnsi="Garamond" w:cs="Times New Roman"/>
                <w:b/>
                <w:bCs/>
              </w:rPr>
            </w:pPr>
            <w:r w:rsidRPr="0003358E">
              <w:rPr>
                <w:rFonts w:ascii="Garamond" w:hAnsi="Garamond" w:cs="Times New Roman"/>
                <w:b/>
                <w:bCs/>
                <w:noProof/>
              </w:rPr>
              <w:drawing>
                <wp:inline distT="0" distB="0" distL="0" distR="0" wp14:anchorId="622D07AF" wp14:editId="6C0177C2">
                  <wp:extent cx="2880650" cy="2095018"/>
                  <wp:effectExtent l="0" t="0" r="254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90082" cy="2101878"/>
                          </a:xfrm>
                          <a:prstGeom prst="rect">
                            <a:avLst/>
                          </a:prstGeom>
                        </pic:spPr>
                      </pic:pic>
                    </a:graphicData>
                  </a:graphic>
                </wp:inline>
              </w:drawing>
            </w:r>
          </w:p>
        </w:tc>
        <w:tc>
          <w:tcPr>
            <w:tcW w:w="4896" w:type="dxa"/>
          </w:tcPr>
          <w:p w14:paraId="7BB8162A" w14:textId="78A92E86" w:rsidR="00BB2CD3" w:rsidRDefault="00AD006B" w:rsidP="00BB2CD3">
            <w:pPr>
              <w:spacing w:line="480" w:lineRule="auto"/>
              <w:jc w:val="center"/>
              <w:rPr>
                <w:rFonts w:ascii="Garamond" w:hAnsi="Garamond" w:cs="Times New Roman"/>
                <w:b/>
                <w:bCs/>
              </w:rPr>
            </w:pPr>
            <w:r w:rsidRPr="0003358E">
              <w:rPr>
                <w:rFonts w:ascii="Garamond" w:hAnsi="Garamond" w:cs="Times New Roman"/>
                <w:noProof/>
              </w:rPr>
              <w:drawing>
                <wp:inline distT="0" distB="0" distL="0" distR="0" wp14:anchorId="0D6ACB7C" wp14:editId="70A9A842">
                  <wp:extent cx="2971801" cy="21613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85972" cy="2171615"/>
                          </a:xfrm>
                          <a:prstGeom prst="rect">
                            <a:avLst/>
                          </a:prstGeom>
                        </pic:spPr>
                      </pic:pic>
                    </a:graphicData>
                  </a:graphic>
                </wp:inline>
              </w:drawing>
            </w:r>
          </w:p>
        </w:tc>
      </w:tr>
      <w:tr w:rsidR="00AD006B" w14:paraId="7DB34B79" w14:textId="77777777" w:rsidTr="003075CB">
        <w:tc>
          <w:tcPr>
            <w:tcW w:w="5334" w:type="dxa"/>
          </w:tcPr>
          <w:p w14:paraId="424C7996" w14:textId="70649D2D" w:rsidR="00BB2CD3" w:rsidRDefault="00AD006B" w:rsidP="00BB2CD3">
            <w:pPr>
              <w:spacing w:line="480" w:lineRule="auto"/>
              <w:jc w:val="center"/>
              <w:rPr>
                <w:rFonts w:ascii="Garamond" w:hAnsi="Garamond" w:cs="Times New Roman"/>
                <w:b/>
                <w:bCs/>
              </w:rPr>
            </w:pPr>
            <w:r w:rsidRPr="0003358E">
              <w:rPr>
                <w:rFonts w:ascii="Garamond" w:hAnsi="Garamond" w:cs="Times New Roman"/>
                <w:b/>
                <w:bCs/>
                <w:noProof/>
              </w:rPr>
              <w:drawing>
                <wp:inline distT="0" distB="0" distL="0" distR="0" wp14:anchorId="5EEEB7F7" wp14:editId="071458DF">
                  <wp:extent cx="2836598" cy="20629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45115" cy="2069175"/>
                          </a:xfrm>
                          <a:prstGeom prst="rect">
                            <a:avLst/>
                          </a:prstGeom>
                        </pic:spPr>
                      </pic:pic>
                    </a:graphicData>
                  </a:graphic>
                </wp:inline>
              </w:drawing>
            </w:r>
          </w:p>
        </w:tc>
        <w:tc>
          <w:tcPr>
            <w:tcW w:w="4896" w:type="dxa"/>
          </w:tcPr>
          <w:p w14:paraId="0AE13B79" w14:textId="3D70D7F3" w:rsidR="00BB2CD3" w:rsidRDefault="00BB2CD3" w:rsidP="00BB2CD3">
            <w:pPr>
              <w:spacing w:line="480" w:lineRule="auto"/>
              <w:jc w:val="center"/>
              <w:rPr>
                <w:rFonts w:ascii="Garamond" w:hAnsi="Garamond" w:cs="Times New Roman"/>
                <w:b/>
                <w:bCs/>
              </w:rPr>
            </w:pPr>
            <w:r w:rsidRPr="0003358E">
              <w:rPr>
                <w:rFonts w:ascii="Garamond" w:hAnsi="Garamond" w:cs="Times New Roman"/>
                <w:b/>
                <w:bCs/>
                <w:noProof/>
              </w:rPr>
              <w:drawing>
                <wp:inline distT="0" distB="0" distL="0" distR="0" wp14:anchorId="2D1958D3" wp14:editId="1594D19A">
                  <wp:extent cx="2746091" cy="199715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55449" cy="2003963"/>
                          </a:xfrm>
                          <a:prstGeom prst="rect">
                            <a:avLst/>
                          </a:prstGeom>
                        </pic:spPr>
                      </pic:pic>
                    </a:graphicData>
                  </a:graphic>
                </wp:inline>
              </w:drawing>
            </w:r>
          </w:p>
        </w:tc>
      </w:tr>
      <w:tr w:rsidR="00AD006B" w14:paraId="29A6BCD4" w14:textId="77777777" w:rsidTr="003075CB">
        <w:tc>
          <w:tcPr>
            <w:tcW w:w="5334" w:type="dxa"/>
          </w:tcPr>
          <w:p w14:paraId="62635BD6" w14:textId="7B338E3B" w:rsidR="00BB2CD3" w:rsidRDefault="00BB2CD3" w:rsidP="00BB2CD3">
            <w:pPr>
              <w:spacing w:line="480" w:lineRule="auto"/>
              <w:jc w:val="center"/>
              <w:rPr>
                <w:rFonts w:ascii="Garamond" w:hAnsi="Garamond" w:cs="Times New Roman"/>
                <w:b/>
                <w:bCs/>
              </w:rPr>
            </w:pPr>
            <w:r w:rsidRPr="0003358E">
              <w:rPr>
                <w:rFonts w:ascii="Garamond" w:hAnsi="Garamond" w:cs="Times New Roman"/>
                <w:noProof/>
              </w:rPr>
              <w:drawing>
                <wp:inline distT="0" distB="0" distL="0" distR="0" wp14:anchorId="03E457C3" wp14:editId="356E0C9C">
                  <wp:extent cx="2896565" cy="2106593"/>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09603" cy="2116075"/>
                          </a:xfrm>
                          <a:prstGeom prst="rect">
                            <a:avLst/>
                          </a:prstGeom>
                        </pic:spPr>
                      </pic:pic>
                    </a:graphicData>
                  </a:graphic>
                </wp:inline>
              </w:drawing>
            </w:r>
          </w:p>
        </w:tc>
        <w:tc>
          <w:tcPr>
            <w:tcW w:w="4896" w:type="dxa"/>
          </w:tcPr>
          <w:p w14:paraId="18C71CC0" w14:textId="5C5DD3ED" w:rsidR="00BB2CD3" w:rsidRDefault="00BB2CD3" w:rsidP="00BB2CD3">
            <w:pPr>
              <w:spacing w:line="480" w:lineRule="auto"/>
              <w:jc w:val="center"/>
              <w:rPr>
                <w:rFonts w:ascii="Garamond" w:hAnsi="Garamond" w:cs="Times New Roman"/>
                <w:b/>
                <w:bCs/>
              </w:rPr>
            </w:pPr>
            <w:r w:rsidRPr="0003358E">
              <w:rPr>
                <w:rFonts w:ascii="Garamond" w:hAnsi="Garamond" w:cs="Times New Roman"/>
                <w:b/>
                <w:bCs/>
                <w:noProof/>
              </w:rPr>
              <w:drawing>
                <wp:inline distT="0" distB="0" distL="0" distR="0" wp14:anchorId="1698163F" wp14:editId="363FEA07">
                  <wp:extent cx="2743200" cy="199505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51612" cy="2001172"/>
                          </a:xfrm>
                          <a:prstGeom prst="rect">
                            <a:avLst/>
                          </a:prstGeom>
                        </pic:spPr>
                      </pic:pic>
                    </a:graphicData>
                  </a:graphic>
                </wp:inline>
              </w:drawing>
            </w:r>
          </w:p>
        </w:tc>
      </w:tr>
    </w:tbl>
    <w:p w14:paraId="728366CA" w14:textId="77777777" w:rsidR="00BB2CD3" w:rsidRPr="00813173" w:rsidRDefault="00BB2CD3" w:rsidP="00AD7857">
      <w:pPr>
        <w:spacing w:line="480" w:lineRule="auto"/>
        <w:rPr>
          <w:rFonts w:ascii="Garamond" w:hAnsi="Garamond" w:cs="Times New Roman"/>
          <w:b/>
          <w:bCs/>
        </w:rPr>
      </w:pPr>
    </w:p>
    <w:p w14:paraId="579B8EC4" w14:textId="4D01ECBA" w:rsidR="00AD7857" w:rsidRDefault="00AD7857" w:rsidP="00AD7857">
      <w:pPr>
        <w:rPr>
          <w:rFonts w:ascii="Garamond" w:hAnsi="Garamond" w:cs="Times New Roman"/>
          <w:b/>
          <w:bCs/>
        </w:rPr>
      </w:pPr>
    </w:p>
    <w:p w14:paraId="545D21EE" w14:textId="7BF65979" w:rsidR="00AD7857" w:rsidRDefault="00AD7857" w:rsidP="00AD7857">
      <w:pPr>
        <w:rPr>
          <w:rFonts w:ascii="Garamond" w:hAnsi="Garamond" w:cs="Times New Roman"/>
          <w:b/>
          <w:bCs/>
          <w:noProof/>
        </w:rPr>
      </w:pPr>
    </w:p>
    <w:p w14:paraId="34D38147" w14:textId="593F303E" w:rsidR="00BB2CD3" w:rsidRDefault="00BB2CD3" w:rsidP="00AD7857">
      <w:pPr>
        <w:rPr>
          <w:rFonts w:ascii="Garamond" w:hAnsi="Garamond" w:cs="Times New Roman"/>
          <w:b/>
          <w:bCs/>
          <w:noProof/>
        </w:rPr>
      </w:pPr>
    </w:p>
    <w:p w14:paraId="2CF44964" w14:textId="77777777" w:rsidR="00BB2CD3" w:rsidRDefault="00BB2CD3" w:rsidP="00AD7857">
      <w:pPr>
        <w:rPr>
          <w:rFonts w:ascii="Garamond" w:hAnsi="Garamond" w:cs="Times New Roman"/>
          <w:b/>
          <w:bCs/>
        </w:rPr>
      </w:pPr>
    </w:p>
    <w:p w14:paraId="13EB8713" w14:textId="77777777" w:rsidR="00AD7857" w:rsidRDefault="00AD7857" w:rsidP="00AD7857">
      <w:pPr>
        <w:rPr>
          <w:rFonts w:ascii="Garamond" w:hAnsi="Garamond" w:cs="Times New Roman"/>
          <w:b/>
          <w:bCs/>
        </w:rPr>
      </w:pPr>
    </w:p>
    <w:p w14:paraId="4DA98EB0" w14:textId="6C33BC2A" w:rsidR="00AD7857" w:rsidRDefault="00AD7857" w:rsidP="00AD7857">
      <w:pPr>
        <w:rPr>
          <w:rFonts w:ascii="Garamond" w:hAnsi="Garamond" w:cs="Times New Roman"/>
          <w:b/>
          <w:bCs/>
        </w:rPr>
      </w:pPr>
      <w:r>
        <w:rPr>
          <w:rFonts w:ascii="Garamond" w:hAnsi="Garamond" w:cs="Times New Roman"/>
          <w:b/>
          <w:bCs/>
        </w:rPr>
        <w:t xml:space="preserve">Figure </w:t>
      </w:r>
      <w:r w:rsidR="004B22BD">
        <w:rPr>
          <w:rFonts w:ascii="Garamond" w:hAnsi="Garamond" w:cs="Times New Roman"/>
          <w:b/>
          <w:bCs/>
        </w:rPr>
        <w:t>4</w:t>
      </w:r>
      <w:r>
        <w:rPr>
          <w:rFonts w:ascii="Garamond" w:hAnsi="Garamond" w:cs="Times New Roman"/>
          <w:b/>
          <w:bCs/>
        </w:rPr>
        <w:t xml:space="preserve">: Change in Policy Stringency Over Time </w:t>
      </w:r>
    </w:p>
    <w:p w14:paraId="7CD3C4E9" w14:textId="77777777" w:rsidR="00AD7857" w:rsidRDefault="00AD7857" w:rsidP="00AD7857">
      <w:pPr>
        <w:rPr>
          <w:rFonts w:ascii="Garamond" w:hAnsi="Garamond" w:cs="Times New Roman"/>
          <w:b/>
          <w:bCs/>
        </w:rPr>
      </w:pPr>
      <w:r w:rsidRPr="00360E7F">
        <w:rPr>
          <w:rFonts w:ascii="Garamond" w:hAnsi="Garamond" w:cs="Times New Roman"/>
          <w:b/>
          <w:bCs/>
          <w:noProof/>
        </w:rPr>
        <w:drawing>
          <wp:inline distT="0" distB="0" distL="0" distR="0" wp14:anchorId="7BC7E4B4" wp14:editId="706FEC9B">
            <wp:extent cx="5283842" cy="384279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5961" cy="3851609"/>
                    </a:xfrm>
                    <a:prstGeom prst="rect">
                      <a:avLst/>
                    </a:prstGeom>
                  </pic:spPr>
                </pic:pic>
              </a:graphicData>
            </a:graphic>
          </wp:inline>
        </w:drawing>
      </w:r>
    </w:p>
    <w:p w14:paraId="633609B7" w14:textId="4BA17CD6" w:rsidR="00AD7857" w:rsidRDefault="00AD7857" w:rsidP="00AD7857">
      <w:pPr>
        <w:rPr>
          <w:rFonts w:ascii="Garamond" w:hAnsi="Garamond" w:cs="Times New Roman"/>
          <w:b/>
          <w:bCs/>
        </w:rPr>
      </w:pPr>
    </w:p>
    <w:p w14:paraId="0D3EFDA7" w14:textId="4495B653" w:rsidR="00C2470B" w:rsidRDefault="00C2470B" w:rsidP="00AD7857">
      <w:pPr>
        <w:rPr>
          <w:rFonts w:ascii="Garamond" w:hAnsi="Garamond" w:cs="Times New Roman"/>
          <w:b/>
          <w:bCs/>
        </w:rPr>
      </w:pPr>
    </w:p>
    <w:p w14:paraId="3E807302" w14:textId="60C8D9EF" w:rsidR="00C2470B" w:rsidRDefault="00C2470B" w:rsidP="00AD7857">
      <w:pPr>
        <w:rPr>
          <w:rFonts w:ascii="Garamond" w:hAnsi="Garamond" w:cs="Times New Roman"/>
          <w:b/>
          <w:bCs/>
        </w:rPr>
      </w:pPr>
    </w:p>
    <w:p w14:paraId="145D873C" w14:textId="6319C15E" w:rsidR="00C2470B" w:rsidRDefault="00C2470B" w:rsidP="00AD7857">
      <w:pPr>
        <w:rPr>
          <w:rFonts w:ascii="Garamond" w:hAnsi="Garamond" w:cs="Times New Roman"/>
          <w:b/>
          <w:bCs/>
        </w:rPr>
      </w:pPr>
    </w:p>
    <w:p w14:paraId="6E1C124E" w14:textId="45F72E66" w:rsidR="00C2470B" w:rsidRDefault="00C2470B" w:rsidP="00AD7857">
      <w:pPr>
        <w:rPr>
          <w:rFonts w:ascii="Garamond" w:hAnsi="Garamond" w:cs="Times New Roman"/>
          <w:b/>
          <w:bCs/>
        </w:rPr>
      </w:pPr>
    </w:p>
    <w:p w14:paraId="36BBE6D5" w14:textId="619342CF" w:rsidR="00C2470B" w:rsidRDefault="00C2470B" w:rsidP="00AD7857">
      <w:pPr>
        <w:rPr>
          <w:rFonts w:ascii="Garamond" w:hAnsi="Garamond" w:cs="Times New Roman"/>
          <w:b/>
          <w:bCs/>
        </w:rPr>
      </w:pPr>
    </w:p>
    <w:p w14:paraId="6976D956" w14:textId="0F7CA5CA" w:rsidR="00C2470B" w:rsidRDefault="00C2470B" w:rsidP="00AD7857">
      <w:pPr>
        <w:rPr>
          <w:rFonts w:ascii="Garamond" w:hAnsi="Garamond" w:cs="Times New Roman"/>
          <w:b/>
          <w:bCs/>
        </w:rPr>
      </w:pPr>
    </w:p>
    <w:p w14:paraId="3BF0FF4A" w14:textId="277E899C" w:rsidR="00C2470B" w:rsidRDefault="00C2470B" w:rsidP="00AD7857">
      <w:pPr>
        <w:rPr>
          <w:rFonts w:ascii="Garamond" w:hAnsi="Garamond" w:cs="Times New Roman"/>
          <w:b/>
          <w:bCs/>
        </w:rPr>
      </w:pPr>
    </w:p>
    <w:p w14:paraId="3C71E357" w14:textId="782B46E3" w:rsidR="00C2470B" w:rsidRDefault="00C2470B" w:rsidP="00AD7857">
      <w:pPr>
        <w:rPr>
          <w:rFonts w:ascii="Garamond" w:hAnsi="Garamond" w:cs="Times New Roman"/>
          <w:b/>
          <w:bCs/>
        </w:rPr>
      </w:pPr>
    </w:p>
    <w:p w14:paraId="2F4B5AD7" w14:textId="78E8C4FE" w:rsidR="00C2470B" w:rsidRDefault="00C2470B" w:rsidP="00AD7857">
      <w:pPr>
        <w:rPr>
          <w:rFonts w:ascii="Garamond" w:hAnsi="Garamond" w:cs="Times New Roman"/>
          <w:b/>
          <w:bCs/>
        </w:rPr>
      </w:pPr>
    </w:p>
    <w:p w14:paraId="14DA2AC7" w14:textId="10A7DA5B" w:rsidR="00C2470B" w:rsidRDefault="00C2470B" w:rsidP="00AD7857">
      <w:pPr>
        <w:rPr>
          <w:rFonts w:ascii="Garamond" w:hAnsi="Garamond" w:cs="Times New Roman"/>
          <w:b/>
          <w:bCs/>
        </w:rPr>
      </w:pPr>
    </w:p>
    <w:p w14:paraId="1270822B" w14:textId="013E6C70" w:rsidR="00C2470B" w:rsidRDefault="00C2470B" w:rsidP="00AD7857">
      <w:pPr>
        <w:rPr>
          <w:rFonts w:ascii="Garamond" w:hAnsi="Garamond" w:cs="Times New Roman"/>
          <w:b/>
          <w:bCs/>
        </w:rPr>
      </w:pPr>
    </w:p>
    <w:p w14:paraId="66D14D56" w14:textId="5309B308" w:rsidR="00C2470B" w:rsidRDefault="00C2470B" w:rsidP="00AD7857">
      <w:pPr>
        <w:rPr>
          <w:rFonts w:ascii="Garamond" w:hAnsi="Garamond" w:cs="Times New Roman"/>
          <w:b/>
          <w:bCs/>
        </w:rPr>
      </w:pPr>
    </w:p>
    <w:p w14:paraId="36260FB3" w14:textId="77777777" w:rsidR="00015D1E" w:rsidRDefault="00015D1E" w:rsidP="00AD7857">
      <w:pPr>
        <w:rPr>
          <w:rFonts w:ascii="Garamond" w:hAnsi="Garamond" w:cs="Times New Roman"/>
          <w:b/>
          <w:bCs/>
        </w:rPr>
      </w:pPr>
    </w:p>
    <w:p w14:paraId="7D158237" w14:textId="3D31672D" w:rsidR="00C2470B" w:rsidRDefault="00C2470B" w:rsidP="00AD7857">
      <w:pPr>
        <w:rPr>
          <w:rFonts w:ascii="Garamond" w:hAnsi="Garamond" w:cs="Times New Roman"/>
          <w:b/>
          <w:bCs/>
        </w:rPr>
      </w:pPr>
    </w:p>
    <w:p w14:paraId="2B4FF21B" w14:textId="3507B799" w:rsidR="00C2470B" w:rsidRDefault="00C2470B" w:rsidP="00AD7857">
      <w:pPr>
        <w:rPr>
          <w:rFonts w:ascii="Garamond" w:hAnsi="Garamond" w:cs="Times New Roman"/>
          <w:b/>
          <w:bCs/>
        </w:rPr>
      </w:pPr>
    </w:p>
    <w:p w14:paraId="041B2E7E" w14:textId="21D35D4F" w:rsidR="00C2470B" w:rsidRDefault="00C2470B" w:rsidP="00AD7857">
      <w:pPr>
        <w:rPr>
          <w:rFonts w:ascii="Garamond" w:hAnsi="Garamond" w:cs="Times New Roman"/>
          <w:b/>
          <w:bCs/>
        </w:rPr>
      </w:pPr>
    </w:p>
    <w:p w14:paraId="44AF68C1" w14:textId="185291C7" w:rsidR="00C2470B" w:rsidRDefault="00C2470B" w:rsidP="00AD7857">
      <w:pPr>
        <w:rPr>
          <w:rFonts w:ascii="Garamond" w:hAnsi="Garamond" w:cs="Times New Roman"/>
          <w:b/>
          <w:bCs/>
        </w:rPr>
      </w:pPr>
    </w:p>
    <w:p w14:paraId="32AF34B8" w14:textId="06863DE1" w:rsidR="00C2470B" w:rsidRDefault="00C2470B" w:rsidP="00AD7857">
      <w:pPr>
        <w:rPr>
          <w:rFonts w:ascii="Garamond" w:hAnsi="Garamond" w:cs="Times New Roman"/>
          <w:b/>
          <w:bCs/>
        </w:rPr>
      </w:pPr>
    </w:p>
    <w:p w14:paraId="67009BB4" w14:textId="1D6246B9" w:rsidR="00C2470B" w:rsidRDefault="00C2470B" w:rsidP="00AD7857">
      <w:pPr>
        <w:rPr>
          <w:rFonts w:ascii="Garamond" w:hAnsi="Garamond" w:cs="Times New Roman"/>
          <w:b/>
          <w:bCs/>
        </w:rPr>
      </w:pPr>
    </w:p>
    <w:p w14:paraId="5E3FE41F" w14:textId="77777777" w:rsidR="00C2470B" w:rsidRDefault="00C2470B" w:rsidP="00AD7857">
      <w:pPr>
        <w:rPr>
          <w:rFonts w:ascii="Garamond" w:hAnsi="Garamond" w:cs="Times New Roman"/>
          <w:b/>
          <w:bCs/>
        </w:rPr>
      </w:pPr>
    </w:p>
    <w:p w14:paraId="2B1FA10D" w14:textId="77777777" w:rsidR="00AD7857" w:rsidRDefault="00AD7857" w:rsidP="00AD7857">
      <w:pPr>
        <w:rPr>
          <w:rFonts w:ascii="Garamond" w:hAnsi="Garamond" w:cs="Times New Roman"/>
          <w:b/>
          <w:bCs/>
        </w:rPr>
      </w:pPr>
    </w:p>
    <w:p w14:paraId="4739000B" w14:textId="70C37EC9" w:rsidR="00C2470B" w:rsidRDefault="00780182">
      <w:pPr>
        <w:rPr>
          <w:rFonts w:ascii="Garamond" w:hAnsi="Garamond" w:cs="Times New Roman"/>
          <w:b/>
          <w:bCs/>
        </w:rPr>
      </w:pPr>
      <w:r>
        <w:rPr>
          <w:rFonts w:ascii="Garamond" w:hAnsi="Garamond" w:cs="Times New Roman"/>
          <w:b/>
          <w:bCs/>
        </w:rPr>
        <w:t xml:space="preserve">Figure </w:t>
      </w:r>
      <w:r w:rsidR="004B22BD">
        <w:rPr>
          <w:rFonts w:ascii="Garamond" w:hAnsi="Garamond" w:cs="Times New Roman"/>
          <w:b/>
          <w:bCs/>
        </w:rPr>
        <w:t>5</w:t>
      </w:r>
      <w:r>
        <w:rPr>
          <w:rFonts w:ascii="Garamond" w:hAnsi="Garamond" w:cs="Times New Roman"/>
          <w:b/>
          <w:bCs/>
        </w:rPr>
        <w:t xml:space="preserve">. Marginal Effects of Policy Stringency on Mobility Over Time </w:t>
      </w:r>
    </w:p>
    <w:tbl>
      <w:tblPr>
        <w:tblW w:w="10230" w:type="dxa"/>
        <w:tblLook w:val="04A0" w:firstRow="1" w:lastRow="0" w:firstColumn="1" w:lastColumn="0" w:noHBand="0" w:noVBand="1"/>
      </w:tblPr>
      <w:tblGrid>
        <w:gridCol w:w="5196"/>
        <w:gridCol w:w="5345"/>
      </w:tblGrid>
      <w:tr w:rsidR="00794064" w14:paraId="367DB0F8" w14:textId="77777777" w:rsidTr="00C2470B">
        <w:tc>
          <w:tcPr>
            <w:tcW w:w="5334" w:type="dxa"/>
          </w:tcPr>
          <w:p w14:paraId="127E2B33" w14:textId="40D8FD72" w:rsidR="00780182" w:rsidRDefault="00780182" w:rsidP="00C2470B">
            <w:pPr>
              <w:spacing w:line="480" w:lineRule="auto"/>
              <w:jc w:val="center"/>
              <w:rPr>
                <w:rFonts w:ascii="Garamond" w:hAnsi="Garamond" w:cs="Times New Roman"/>
                <w:b/>
                <w:bCs/>
              </w:rPr>
            </w:pPr>
            <w:r w:rsidRPr="00780182">
              <w:rPr>
                <w:rFonts w:ascii="Garamond" w:hAnsi="Garamond" w:cs="Times New Roman"/>
                <w:b/>
                <w:bCs/>
                <w:noProof/>
              </w:rPr>
              <w:lastRenderedPageBreak/>
              <w:drawing>
                <wp:inline distT="0" distB="0" distL="0" distR="0" wp14:anchorId="637E222B" wp14:editId="2CAAB3BF">
                  <wp:extent cx="2657475" cy="19327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6535" cy="1953844"/>
                          </a:xfrm>
                          <a:prstGeom prst="rect">
                            <a:avLst/>
                          </a:prstGeom>
                        </pic:spPr>
                      </pic:pic>
                    </a:graphicData>
                  </a:graphic>
                </wp:inline>
              </w:drawing>
            </w:r>
            <w:r>
              <w:rPr>
                <w:rFonts w:ascii="Garamond" w:hAnsi="Garamond" w:cs="Times New Roman"/>
                <w:b/>
                <w:bCs/>
              </w:rPr>
              <w:t>Residential</w:t>
            </w:r>
          </w:p>
        </w:tc>
        <w:tc>
          <w:tcPr>
            <w:tcW w:w="4896" w:type="dxa"/>
          </w:tcPr>
          <w:p w14:paraId="40870945" w14:textId="77777777" w:rsidR="00780182" w:rsidRDefault="00780182" w:rsidP="00C2470B">
            <w:pPr>
              <w:spacing w:line="480" w:lineRule="auto"/>
              <w:jc w:val="center"/>
              <w:rPr>
                <w:rFonts w:ascii="Garamond" w:hAnsi="Garamond" w:cs="Times New Roman"/>
                <w:b/>
                <w:bCs/>
              </w:rPr>
            </w:pPr>
            <w:r w:rsidRPr="00780182">
              <w:rPr>
                <w:rFonts w:ascii="Garamond" w:hAnsi="Garamond" w:cs="Times New Roman"/>
                <w:noProof/>
              </w:rPr>
              <w:drawing>
                <wp:inline distT="0" distB="0" distL="0" distR="0" wp14:anchorId="1E1208D3" wp14:editId="37B1E829">
                  <wp:extent cx="2697574" cy="19618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0372" cy="1985725"/>
                          </a:xfrm>
                          <a:prstGeom prst="rect">
                            <a:avLst/>
                          </a:prstGeom>
                        </pic:spPr>
                      </pic:pic>
                    </a:graphicData>
                  </a:graphic>
                </wp:inline>
              </w:drawing>
            </w:r>
          </w:p>
          <w:p w14:paraId="0D4BF835" w14:textId="78CFC89B" w:rsidR="00780182" w:rsidRDefault="00780182" w:rsidP="00C2470B">
            <w:pPr>
              <w:spacing w:line="480" w:lineRule="auto"/>
              <w:jc w:val="center"/>
              <w:rPr>
                <w:rFonts w:ascii="Garamond" w:hAnsi="Garamond" w:cs="Times New Roman"/>
                <w:b/>
                <w:bCs/>
              </w:rPr>
            </w:pPr>
            <w:r>
              <w:rPr>
                <w:rFonts w:ascii="Garamond" w:hAnsi="Garamond" w:cs="Times New Roman"/>
                <w:b/>
                <w:bCs/>
              </w:rPr>
              <w:t xml:space="preserve">Retail </w:t>
            </w:r>
            <w:r w:rsidR="00794064">
              <w:rPr>
                <w:rFonts w:ascii="Garamond" w:hAnsi="Garamond" w:cs="Times New Roman"/>
                <w:b/>
                <w:bCs/>
              </w:rPr>
              <w:t>and Recreation</w:t>
            </w:r>
          </w:p>
        </w:tc>
      </w:tr>
      <w:tr w:rsidR="00794064" w14:paraId="6E67D36A" w14:textId="77777777" w:rsidTr="00C2470B">
        <w:tc>
          <w:tcPr>
            <w:tcW w:w="5334" w:type="dxa"/>
          </w:tcPr>
          <w:p w14:paraId="6DF588BA" w14:textId="77777777" w:rsidR="00780182" w:rsidRDefault="00794064" w:rsidP="00C2470B">
            <w:pPr>
              <w:spacing w:line="480" w:lineRule="auto"/>
              <w:jc w:val="center"/>
              <w:rPr>
                <w:rFonts w:ascii="Garamond" w:hAnsi="Garamond" w:cs="Times New Roman"/>
                <w:b/>
                <w:bCs/>
              </w:rPr>
            </w:pPr>
            <w:r w:rsidRPr="00794064">
              <w:rPr>
                <w:rFonts w:ascii="Garamond" w:hAnsi="Garamond" w:cs="Times New Roman"/>
                <w:b/>
                <w:bCs/>
                <w:noProof/>
              </w:rPr>
              <w:drawing>
                <wp:inline distT="0" distB="0" distL="0" distR="0" wp14:anchorId="3986B7C9" wp14:editId="25116A46">
                  <wp:extent cx="3162896" cy="230028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02785" cy="2329298"/>
                          </a:xfrm>
                          <a:prstGeom prst="rect">
                            <a:avLst/>
                          </a:prstGeom>
                        </pic:spPr>
                      </pic:pic>
                    </a:graphicData>
                  </a:graphic>
                </wp:inline>
              </w:drawing>
            </w:r>
          </w:p>
          <w:p w14:paraId="0EFAD7EA" w14:textId="76EFF7E8" w:rsidR="00794064" w:rsidRDefault="00794064" w:rsidP="00C2470B">
            <w:pPr>
              <w:spacing w:line="480" w:lineRule="auto"/>
              <w:jc w:val="center"/>
              <w:rPr>
                <w:rFonts w:ascii="Garamond" w:hAnsi="Garamond" w:cs="Times New Roman"/>
                <w:b/>
                <w:bCs/>
              </w:rPr>
            </w:pPr>
            <w:r>
              <w:rPr>
                <w:rFonts w:ascii="Garamond" w:hAnsi="Garamond" w:cs="Times New Roman"/>
                <w:b/>
                <w:bCs/>
              </w:rPr>
              <w:t>Grocery and Pharmacy</w:t>
            </w:r>
          </w:p>
        </w:tc>
        <w:tc>
          <w:tcPr>
            <w:tcW w:w="4896" w:type="dxa"/>
          </w:tcPr>
          <w:p w14:paraId="5E515D6F" w14:textId="77777777" w:rsidR="00780182" w:rsidRDefault="00794064" w:rsidP="00C2470B">
            <w:pPr>
              <w:spacing w:line="480" w:lineRule="auto"/>
              <w:jc w:val="center"/>
              <w:rPr>
                <w:rFonts w:ascii="Garamond" w:hAnsi="Garamond" w:cs="Times New Roman"/>
                <w:b/>
                <w:bCs/>
              </w:rPr>
            </w:pPr>
            <w:r w:rsidRPr="00794064">
              <w:rPr>
                <w:rFonts w:ascii="Garamond" w:hAnsi="Garamond" w:cs="Times New Roman"/>
                <w:b/>
                <w:bCs/>
                <w:noProof/>
              </w:rPr>
              <w:drawing>
                <wp:inline distT="0" distB="0" distL="0" distR="0" wp14:anchorId="25153744" wp14:editId="0B7849B6">
                  <wp:extent cx="3257173" cy="2368852"/>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83382" cy="2387913"/>
                          </a:xfrm>
                          <a:prstGeom prst="rect">
                            <a:avLst/>
                          </a:prstGeom>
                        </pic:spPr>
                      </pic:pic>
                    </a:graphicData>
                  </a:graphic>
                </wp:inline>
              </w:drawing>
            </w:r>
          </w:p>
          <w:p w14:paraId="4839D9DD" w14:textId="115D8BC2" w:rsidR="00794064" w:rsidRDefault="00794064" w:rsidP="00C2470B">
            <w:pPr>
              <w:spacing w:line="480" w:lineRule="auto"/>
              <w:jc w:val="center"/>
              <w:rPr>
                <w:rFonts w:ascii="Garamond" w:hAnsi="Garamond" w:cs="Times New Roman"/>
                <w:b/>
                <w:bCs/>
              </w:rPr>
            </w:pPr>
            <w:r>
              <w:rPr>
                <w:rFonts w:ascii="Garamond" w:hAnsi="Garamond" w:cs="Times New Roman"/>
                <w:b/>
                <w:bCs/>
              </w:rPr>
              <w:t>Transit Stations</w:t>
            </w:r>
          </w:p>
        </w:tc>
      </w:tr>
      <w:tr w:rsidR="00794064" w14:paraId="3CE54E00" w14:textId="77777777" w:rsidTr="00C2470B">
        <w:tc>
          <w:tcPr>
            <w:tcW w:w="5334" w:type="dxa"/>
          </w:tcPr>
          <w:p w14:paraId="3E6EDC1D" w14:textId="77777777" w:rsidR="00780182" w:rsidRDefault="00794064" w:rsidP="00C2470B">
            <w:pPr>
              <w:spacing w:line="480" w:lineRule="auto"/>
              <w:jc w:val="center"/>
              <w:rPr>
                <w:rFonts w:ascii="Garamond" w:hAnsi="Garamond" w:cs="Times New Roman"/>
                <w:b/>
                <w:bCs/>
              </w:rPr>
            </w:pPr>
            <w:r w:rsidRPr="00794064">
              <w:rPr>
                <w:rFonts w:ascii="Garamond" w:hAnsi="Garamond" w:cs="Times New Roman"/>
                <w:noProof/>
              </w:rPr>
              <w:drawing>
                <wp:inline distT="0" distB="0" distL="0" distR="0" wp14:anchorId="0ACF09B2" wp14:editId="7A343B6F">
                  <wp:extent cx="2940685" cy="213868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7173" cy="2208853"/>
                          </a:xfrm>
                          <a:prstGeom prst="rect">
                            <a:avLst/>
                          </a:prstGeom>
                        </pic:spPr>
                      </pic:pic>
                    </a:graphicData>
                  </a:graphic>
                </wp:inline>
              </w:drawing>
            </w:r>
          </w:p>
          <w:p w14:paraId="20268B70" w14:textId="7104CD7D" w:rsidR="00794064" w:rsidRDefault="00794064" w:rsidP="00C2470B">
            <w:pPr>
              <w:spacing w:line="480" w:lineRule="auto"/>
              <w:jc w:val="center"/>
              <w:rPr>
                <w:rFonts w:ascii="Garamond" w:hAnsi="Garamond" w:cs="Times New Roman"/>
                <w:b/>
                <w:bCs/>
              </w:rPr>
            </w:pPr>
            <w:r>
              <w:rPr>
                <w:rFonts w:ascii="Garamond" w:hAnsi="Garamond" w:cs="Times New Roman"/>
                <w:b/>
                <w:bCs/>
              </w:rPr>
              <w:t>Workplace</w:t>
            </w:r>
          </w:p>
        </w:tc>
        <w:tc>
          <w:tcPr>
            <w:tcW w:w="4896" w:type="dxa"/>
          </w:tcPr>
          <w:p w14:paraId="2292378E" w14:textId="77777777" w:rsidR="00780182" w:rsidRDefault="00794064" w:rsidP="00C2470B">
            <w:pPr>
              <w:spacing w:line="480" w:lineRule="auto"/>
              <w:jc w:val="center"/>
              <w:rPr>
                <w:rFonts w:ascii="Garamond" w:hAnsi="Garamond" w:cs="Times New Roman"/>
                <w:b/>
                <w:bCs/>
              </w:rPr>
            </w:pPr>
            <w:r w:rsidRPr="00794064">
              <w:rPr>
                <w:rFonts w:ascii="Garamond" w:hAnsi="Garamond" w:cs="Times New Roman"/>
                <w:b/>
                <w:bCs/>
                <w:noProof/>
              </w:rPr>
              <w:drawing>
                <wp:inline distT="0" distB="0" distL="0" distR="0" wp14:anchorId="02C38238" wp14:editId="4E620C70">
                  <wp:extent cx="2949820" cy="2145324"/>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5752" cy="2193275"/>
                          </a:xfrm>
                          <a:prstGeom prst="rect">
                            <a:avLst/>
                          </a:prstGeom>
                        </pic:spPr>
                      </pic:pic>
                    </a:graphicData>
                  </a:graphic>
                </wp:inline>
              </w:drawing>
            </w:r>
          </w:p>
          <w:p w14:paraId="01BFF9F8" w14:textId="10C74D41" w:rsidR="00794064" w:rsidRDefault="00794064" w:rsidP="00C2470B">
            <w:pPr>
              <w:spacing w:line="480" w:lineRule="auto"/>
              <w:jc w:val="center"/>
              <w:rPr>
                <w:rFonts w:ascii="Garamond" w:hAnsi="Garamond" w:cs="Times New Roman"/>
                <w:b/>
                <w:bCs/>
              </w:rPr>
            </w:pPr>
            <w:r>
              <w:rPr>
                <w:rFonts w:ascii="Garamond" w:hAnsi="Garamond" w:cs="Times New Roman"/>
                <w:b/>
                <w:bCs/>
              </w:rPr>
              <w:t>Parks</w:t>
            </w:r>
          </w:p>
        </w:tc>
      </w:tr>
    </w:tbl>
    <w:p w14:paraId="1098461B" w14:textId="32716E1C" w:rsidR="006C109B" w:rsidRDefault="006C109B" w:rsidP="006C109B">
      <w:pPr>
        <w:rPr>
          <w:rFonts w:ascii="Garamond" w:hAnsi="Garamond" w:cs="Times New Roman"/>
          <w:b/>
          <w:bCs/>
        </w:rPr>
      </w:pPr>
      <w:r>
        <w:rPr>
          <w:rFonts w:ascii="Garamond" w:hAnsi="Garamond" w:cs="Times New Roman"/>
          <w:b/>
          <w:bCs/>
        </w:rPr>
        <w:t xml:space="preserve">Figure 5. Marginal Effects of Log of New Cases per Million on Mobility Over Time </w:t>
      </w:r>
    </w:p>
    <w:tbl>
      <w:tblPr>
        <w:tblW w:w="10230" w:type="dxa"/>
        <w:tblLook w:val="04A0" w:firstRow="1" w:lastRow="0" w:firstColumn="1" w:lastColumn="0" w:noHBand="0" w:noVBand="1"/>
      </w:tblPr>
      <w:tblGrid>
        <w:gridCol w:w="5294"/>
        <w:gridCol w:w="4936"/>
      </w:tblGrid>
      <w:tr w:rsidR="006C109B" w14:paraId="58ADC25B" w14:textId="77777777" w:rsidTr="00C2470B">
        <w:tc>
          <w:tcPr>
            <w:tcW w:w="5334" w:type="dxa"/>
          </w:tcPr>
          <w:p w14:paraId="3CC62604" w14:textId="4CC3CB91" w:rsidR="006C109B" w:rsidRDefault="006C109B" w:rsidP="00F64E54">
            <w:pPr>
              <w:spacing w:line="480" w:lineRule="auto"/>
              <w:jc w:val="center"/>
              <w:rPr>
                <w:rFonts w:ascii="Garamond" w:hAnsi="Garamond" w:cs="Times New Roman"/>
                <w:b/>
                <w:bCs/>
              </w:rPr>
            </w:pPr>
            <w:r w:rsidRPr="006C109B">
              <w:rPr>
                <w:rFonts w:ascii="Garamond" w:hAnsi="Garamond" w:cs="Times New Roman"/>
                <w:b/>
                <w:bCs/>
                <w:noProof/>
              </w:rPr>
              <w:lastRenderedPageBreak/>
              <w:drawing>
                <wp:inline distT="0" distB="0" distL="0" distR="0" wp14:anchorId="0E655EFB" wp14:editId="4AA7CD7B">
                  <wp:extent cx="3108960" cy="2261061"/>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64915" cy="2301755"/>
                          </a:xfrm>
                          <a:prstGeom prst="rect">
                            <a:avLst/>
                          </a:prstGeom>
                        </pic:spPr>
                      </pic:pic>
                    </a:graphicData>
                  </a:graphic>
                </wp:inline>
              </w:drawing>
            </w:r>
            <w:r>
              <w:rPr>
                <w:rFonts w:ascii="Garamond" w:hAnsi="Garamond" w:cs="Times New Roman"/>
                <w:b/>
                <w:bCs/>
              </w:rPr>
              <w:t xml:space="preserve">Residential </w:t>
            </w:r>
          </w:p>
        </w:tc>
        <w:tc>
          <w:tcPr>
            <w:tcW w:w="4896" w:type="dxa"/>
          </w:tcPr>
          <w:p w14:paraId="18AD47BD" w14:textId="4C3654F9" w:rsidR="006C109B" w:rsidRDefault="006C109B" w:rsidP="00F64E54">
            <w:pPr>
              <w:spacing w:line="480" w:lineRule="auto"/>
              <w:jc w:val="center"/>
              <w:rPr>
                <w:rFonts w:ascii="Garamond" w:hAnsi="Garamond" w:cs="Times New Roman"/>
                <w:b/>
                <w:bCs/>
              </w:rPr>
            </w:pPr>
            <w:r w:rsidRPr="006C109B">
              <w:rPr>
                <w:rFonts w:ascii="Garamond" w:hAnsi="Garamond" w:cs="Times New Roman"/>
                <w:noProof/>
              </w:rPr>
              <w:drawing>
                <wp:inline distT="0" distB="0" distL="0" distR="0" wp14:anchorId="5B66B94F" wp14:editId="669320B1">
                  <wp:extent cx="2992375" cy="2176272"/>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5278" cy="2207474"/>
                          </a:xfrm>
                          <a:prstGeom prst="rect">
                            <a:avLst/>
                          </a:prstGeom>
                        </pic:spPr>
                      </pic:pic>
                    </a:graphicData>
                  </a:graphic>
                </wp:inline>
              </w:drawing>
            </w:r>
          </w:p>
          <w:p w14:paraId="4AA5E0CC" w14:textId="77777777" w:rsidR="006C109B" w:rsidRDefault="006C109B" w:rsidP="00F64E54">
            <w:pPr>
              <w:spacing w:line="480" w:lineRule="auto"/>
              <w:jc w:val="center"/>
              <w:rPr>
                <w:rFonts w:ascii="Garamond" w:hAnsi="Garamond" w:cs="Times New Roman"/>
                <w:b/>
                <w:bCs/>
              </w:rPr>
            </w:pPr>
            <w:r>
              <w:rPr>
                <w:rFonts w:ascii="Garamond" w:hAnsi="Garamond" w:cs="Times New Roman"/>
                <w:b/>
                <w:bCs/>
              </w:rPr>
              <w:t>Retail and Recreation</w:t>
            </w:r>
          </w:p>
        </w:tc>
      </w:tr>
      <w:tr w:rsidR="006C109B" w14:paraId="3710C4F2" w14:textId="77777777" w:rsidTr="00C2470B">
        <w:tc>
          <w:tcPr>
            <w:tcW w:w="5334" w:type="dxa"/>
          </w:tcPr>
          <w:p w14:paraId="1D060B81" w14:textId="69E459FC" w:rsidR="006C109B" w:rsidRDefault="006C109B" w:rsidP="00F64E54">
            <w:pPr>
              <w:spacing w:line="480" w:lineRule="auto"/>
              <w:jc w:val="center"/>
              <w:rPr>
                <w:rFonts w:ascii="Garamond" w:hAnsi="Garamond" w:cs="Times New Roman"/>
                <w:b/>
                <w:bCs/>
              </w:rPr>
            </w:pPr>
            <w:r w:rsidRPr="006C109B">
              <w:rPr>
                <w:rFonts w:ascii="Garamond" w:hAnsi="Garamond" w:cs="Times New Roman"/>
                <w:b/>
                <w:bCs/>
                <w:noProof/>
              </w:rPr>
              <w:drawing>
                <wp:inline distT="0" distB="0" distL="0" distR="0" wp14:anchorId="785D0CD5" wp14:editId="5CB5BFB3">
                  <wp:extent cx="2992373" cy="2176272"/>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46233" cy="2215443"/>
                          </a:xfrm>
                          <a:prstGeom prst="rect">
                            <a:avLst/>
                          </a:prstGeom>
                        </pic:spPr>
                      </pic:pic>
                    </a:graphicData>
                  </a:graphic>
                </wp:inline>
              </w:drawing>
            </w:r>
          </w:p>
          <w:p w14:paraId="0BF423AA" w14:textId="77777777" w:rsidR="006C109B" w:rsidRDefault="006C109B" w:rsidP="00F64E54">
            <w:pPr>
              <w:spacing w:line="480" w:lineRule="auto"/>
              <w:jc w:val="center"/>
              <w:rPr>
                <w:rFonts w:ascii="Garamond" w:hAnsi="Garamond" w:cs="Times New Roman"/>
                <w:b/>
                <w:bCs/>
              </w:rPr>
            </w:pPr>
            <w:r>
              <w:rPr>
                <w:rFonts w:ascii="Garamond" w:hAnsi="Garamond" w:cs="Times New Roman"/>
                <w:b/>
                <w:bCs/>
              </w:rPr>
              <w:t>Grocery and Pharmacy</w:t>
            </w:r>
          </w:p>
        </w:tc>
        <w:tc>
          <w:tcPr>
            <w:tcW w:w="4896" w:type="dxa"/>
          </w:tcPr>
          <w:p w14:paraId="3008F565" w14:textId="313A2457" w:rsidR="006C109B" w:rsidRDefault="006C109B" w:rsidP="00F64E54">
            <w:pPr>
              <w:spacing w:line="480" w:lineRule="auto"/>
              <w:jc w:val="center"/>
              <w:rPr>
                <w:rFonts w:ascii="Garamond" w:hAnsi="Garamond" w:cs="Times New Roman"/>
                <w:b/>
                <w:bCs/>
              </w:rPr>
            </w:pPr>
            <w:r w:rsidRPr="006C109B">
              <w:rPr>
                <w:rFonts w:ascii="Garamond" w:hAnsi="Garamond" w:cs="Times New Roman"/>
                <w:b/>
                <w:bCs/>
                <w:noProof/>
              </w:rPr>
              <w:drawing>
                <wp:inline distT="0" distB="0" distL="0" distR="0" wp14:anchorId="1E90FC51" wp14:editId="311D4400">
                  <wp:extent cx="2970703" cy="2160512"/>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5398" cy="2200290"/>
                          </a:xfrm>
                          <a:prstGeom prst="rect">
                            <a:avLst/>
                          </a:prstGeom>
                        </pic:spPr>
                      </pic:pic>
                    </a:graphicData>
                  </a:graphic>
                </wp:inline>
              </w:drawing>
            </w:r>
          </w:p>
          <w:p w14:paraId="62BAE5DA" w14:textId="77777777" w:rsidR="006C109B" w:rsidRDefault="006C109B" w:rsidP="00F64E54">
            <w:pPr>
              <w:spacing w:line="480" w:lineRule="auto"/>
              <w:jc w:val="center"/>
              <w:rPr>
                <w:rFonts w:ascii="Garamond" w:hAnsi="Garamond" w:cs="Times New Roman"/>
                <w:b/>
                <w:bCs/>
              </w:rPr>
            </w:pPr>
            <w:r>
              <w:rPr>
                <w:rFonts w:ascii="Garamond" w:hAnsi="Garamond" w:cs="Times New Roman"/>
                <w:b/>
                <w:bCs/>
              </w:rPr>
              <w:t>Transit Stations</w:t>
            </w:r>
          </w:p>
        </w:tc>
      </w:tr>
      <w:tr w:rsidR="006C109B" w14:paraId="681F19DE" w14:textId="77777777" w:rsidTr="00C2470B">
        <w:tc>
          <w:tcPr>
            <w:tcW w:w="5334" w:type="dxa"/>
          </w:tcPr>
          <w:p w14:paraId="19604F35" w14:textId="0F04436E" w:rsidR="006C109B" w:rsidRDefault="006C109B" w:rsidP="00F64E54">
            <w:pPr>
              <w:spacing w:line="480" w:lineRule="auto"/>
              <w:jc w:val="center"/>
              <w:rPr>
                <w:rFonts w:ascii="Garamond" w:hAnsi="Garamond" w:cs="Times New Roman"/>
                <w:b/>
                <w:bCs/>
              </w:rPr>
            </w:pPr>
            <w:r w:rsidRPr="006C109B">
              <w:rPr>
                <w:rFonts w:ascii="Garamond" w:hAnsi="Garamond" w:cs="Times New Roman"/>
                <w:noProof/>
              </w:rPr>
              <w:drawing>
                <wp:inline distT="0" distB="0" distL="0" distR="0" wp14:anchorId="319B7E92" wp14:editId="37DE0ADC">
                  <wp:extent cx="2816352" cy="204825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9557" cy="2101495"/>
                          </a:xfrm>
                          <a:prstGeom prst="rect">
                            <a:avLst/>
                          </a:prstGeom>
                        </pic:spPr>
                      </pic:pic>
                    </a:graphicData>
                  </a:graphic>
                </wp:inline>
              </w:drawing>
            </w:r>
          </w:p>
          <w:p w14:paraId="1ECB6F2F" w14:textId="77777777" w:rsidR="006C109B" w:rsidRDefault="006C109B" w:rsidP="00F64E54">
            <w:pPr>
              <w:spacing w:line="480" w:lineRule="auto"/>
              <w:jc w:val="center"/>
              <w:rPr>
                <w:rFonts w:ascii="Garamond" w:hAnsi="Garamond" w:cs="Times New Roman"/>
                <w:b/>
                <w:bCs/>
              </w:rPr>
            </w:pPr>
            <w:r>
              <w:rPr>
                <w:rFonts w:ascii="Garamond" w:hAnsi="Garamond" w:cs="Times New Roman"/>
                <w:b/>
                <w:bCs/>
              </w:rPr>
              <w:t>Workplace</w:t>
            </w:r>
          </w:p>
        </w:tc>
        <w:tc>
          <w:tcPr>
            <w:tcW w:w="4896" w:type="dxa"/>
          </w:tcPr>
          <w:p w14:paraId="7D752A1F" w14:textId="1198DDD3" w:rsidR="006C109B" w:rsidRDefault="006C109B" w:rsidP="00F64E54">
            <w:pPr>
              <w:spacing w:line="480" w:lineRule="auto"/>
              <w:jc w:val="center"/>
              <w:rPr>
                <w:rFonts w:ascii="Garamond" w:hAnsi="Garamond" w:cs="Times New Roman"/>
                <w:b/>
                <w:bCs/>
              </w:rPr>
            </w:pPr>
            <w:r w:rsidRPr="006C109B">
              <w:rPr>
                <w:rFonts w:ascii="Garamond" w:hAnsi="Garamond" w:cs="Times New Roman"/>
                <w:b/>
                <w:bCs/>
                <w:noProof/>
              </w:rPr>
              <w:drawing>
                <wp:inline distT="0" distB="0" distL="0" distR="0" wp14:anchorId="3082ADA3" wp14:editId="2251F01C">
                  <wp:extent cx="2816353" cy="2048256"/>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72930" cy="2089403"/>
                          </a:xfrm>
                          <a:prstGeom prst="rect">
                            <a:avLst/>
                          </a:prstGeom>
                        </pic:spPr>
                      </pic:pic>
                    </a:graphicData>
                  </a:graphic>
                </wp:inline>
              </w:drawing>
            </w:r>
          </w:p>
          <w:p w14:paraId="12DDF57B" w14:textId="77777777" w:rsidR="006C109B" w:rsidRDefault="006C109B" w:rsidP="00F64E54">
            <w:pPr>
              <w:spacing w:line="480" w:lineRule="auto"/>
              <w:jc w:val="center"/>
              <w:rPr>
                <w:rFonts w:ascii="Garamond" w:hAnsi="Garamond" w:cs="Times New Roman"/>
                <w:b/>
                <w:bCs/>
              </w:rPr>
            </w:pPr>
            <w:r>
              <w:rPr>
                <w:rFonts w:ascii="Garamond" w:hAnsi="Garamond" w:cs="Times New Roman"/>
                <w:b/>
                <w:bCs/>
              </w:rPr>
              <w:t>Parks</w:t>
            </w:r>
          </w:p>
        </w:tc>
      </w:tr>
    </w:tbl>
    <w:p w14:paraId="217C3D95" w14:textId="74F6AAD1" w:rsidR="00C2470B" w:rsidRPr="00C2470B" w:rsidRDefault="00C2470B">
      <w:pPr>
        <w:rPr>
          <w:rFonts w:ascii="Garamond" w:hAnsi="Garamond" w:cs="Times New Roman"/>
          <w:b/>
          <w:bCs/>
          <w:sz w:val="32"/>
          <w:szCs w:val="32"/>
        </w:rPr>
      </w:pPr>
      <w:r>
        <w:rPr>
          <w:rFonts w:ascii="Garamond" w:hAnsi="Garamond" w:cs="Times New Roman"/>
          <w:b/>
          <w:bCs/>
          <w:sz w:val="32"/>
          <w:szCs w:val="32"/>
        </w:rPr>
        <w:lastRenderedPageBreak/>
        <w:t xml:space="preserve">Appendix: </w:t>
      </w:r>
    </w:p>
    <w:p w14:paraId="29186D24" w14:textId="77777777" w:rsidR="00B50FA3" w:rsidRDefault="00B50FA3">
      <w:pPr>
        <w:rPr>
          <w:rFonts w:ascii="Garamond" w:hAnsi="Garamond" w:cs="Times New Roman"/>
          <w:b/>
          <w:bCs/>
        </w:rPr>
      </w:pPr>
    </w:p>
    <w:p w14:paraId="09F2CCF7" w14:textId="4B9BFAF1" w:rsidR="00B50FA3" w:rsidRDefault="00C2470B">
      <w:pPr>
        <w:rPr>
          <w:rFonts w:ascii="Garamond" w:hAnsi="Garamond" w:cs="Times New Roman"/>
          <w:b/>
          <w:bCs/>
          <w:sz w:val="28"/>
          <w:szCs w:val="28"/>
        </w:rPr>
      </w:pPr>
      <w:r>
        <w:rPr>
          <w:rFonts w:ascii="Garamond" w:hAnsi="Garamond" w:cs="Times New Roman"/>
          <w:b/>
          <w:bCs/>
          <w:sz w:val="28"/>
          <w:szCs w:val="28"/>
        </w:rPr>
        <w:t>Regression estimated on data from the following countries:</w:t>
      </w:r>
    </w:p>
    <w:p w14:paraId="45B3C3A8" w14:textId="77777777" w:rsidR="00B50FA3" w:rsidRDefault="00B50FA3">
      <w:pPr>
        <w:rPr>
          <w:rFonts w:ascii="Garamond" w:hAnsi="Garamond" w:cs="Times New Roman"/>
          <w:b/>
          <w:bCs/>
          <w:sz w:val="28"/>
          <w:szCs w:val="28"/>
        </w:rPr>
      </w:pPr>
    </w:p>
    <w:p w14:paraId="7F72A22C" w14:textId="291FD825" w:rsidR="00B50FA3" w:rsidRPr="00B50FA3" w:rsidRDefault="00B50FA3">
      <w:pPr>
        <w:rPr>
          <w:rFonts w:ascii="Garamond" w:hAnsi="Garamond" w:cs="Times New Roman"/>
        </w:rPr>
      </w:pPr>
      <w:r>
        <w:rPr>
          <w:rFonts w:ascii="Garamond" w:hAnsi="Garamond" w:cs="Times New Roman"/>
        </w:rPr>
        <w:t xml:space="preserve">Austria, Belarus, Belgium, Bosnia and Herzegovina, Bulgaria, Croatia, Czech Republic, Denmark, Estonia, Finland, France, Georgia, Germany, Greece, Hungary, Ireland, Israel, Italy, Latvia, Lithuania, Luxembourg, Moldova, Netherlands, Norway, Poland, Portugal, Romania, Serbia, Slovakia, Slovenia, Spain, Sweden, Switzerland, Turkey, Ukraine, United Kingdom </w:t>
      </w:r>
    </w:p>
    <w:sectPr w:rsidR="00B50FA3" w:rsidRPr="00B50FA3" w:rsidSect="009C13E5">
      <w:footerReference w:type="even" r:id="rId29"/>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3810E1" w14:textId="77777777" w:rsidR="008A6DE8" w:rsidRDefault="008A6DE8">
      <w:r>
        <w:separator/>
      </w:r>
    </w:p>
  </w:endnote>
  <w:endnote w:type="continuationSeparator" w:id="0">
    <w:p w14:paraId="32D2EEAC" w14:textId="77777777" w:rsidR="008A6DE8" w:rsidRDefault="008A6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altName w:val="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Math">
    <w:altName w:val="Cambria Math"/>
    <w:panose1 w:val="02040503050406030204"/>
    <w:charset w:val="00"/>
    <w:family w:val="roman"/>
    <w:pitch w:val="variable"/>
    <w:sig w:usb0="E00002FF" w:usb1="420024FF" w:usb2="00000000" w:usb3="00000000" w:csb0="0000019F" w:csb1="00000000"/>
  </w:font>
  <w:font w:name="AppleSystemUIFont">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64217049"/>
      <w:docPartObj>
        <w:docPartGallery w:val="Page Numbers (Bottom of Page)"/>
        <w:docPartUnique/>
      </w:docPartObj>
    </w:sdtPr>
    <w:sdtEndPr>
      <w:rPr>
        <w:rStyle w:val="PageNumber"/>
      </w:rPr>
    </w:sdtEndPr>
    <w:sdtContent>
      <w:p w14:paraId="25E82A7E" w14:textId="77777777" w:rsidR="009D5719" w:rsidRDefault="009D5719" w:rsidP="00AD785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B2F226" w14:textId="77777777" w:rsidR="009D5719" w:rsidRDefault="009D5719" w:rsidP="00AD78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22553593"/>
      <w:docPartObj>
        <w:docPartGallery w:val="Page Numbers (Bottom of Page)"/>
        <w:docPartUnique/>
      </w:docPartObj>
    </w:sdtPr>
    <w:sdtEndPr>
      <w:rPr>
        <w:rStyle w:val="PageNumber"/>
      </w:rPr>
    </w:sdtEndPr>
    <w:sdtContent>
      <w:p w14:paraId="6EA84CDF" w14:textId="77777777" w:rsidR="009D5719" w:rsidRDefault="009D5719" w:rsidP="00AD785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999E8A5" w14:textId="77777777" w:rsidR="009D5719" w:rsidRDefault="009D5719" w:rsidP="00AD785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F3C5FA" w14:textId="77777777" w:rsidR="008A6DE8" w:rsidRDefault="008A6DE8">
      <w:r>
        <w:separator/>
      </w:r>
    </w:p>
  </w:footnote>
  <w:footnote w:type="continuationSeparator" w:id="0">
    <w:p w14:paraId="781C1C00" w14:textId="77777777" w:rsidR="008A6DE8" w:rsidRDefault="008A6D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0000000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3D1DCA"/>
    <w:multiLevelType w:val="multilevel"/>
    <w:tmpl w:val="7E7CD6F0"/>
    <w:lvl w:ilvl="0">
      <w:start w:val="1"/>
      <w:numFmt w:val="decimal"/>
      <w:lvlText w:val="%1."/>
      <w:lvlJc w:val="left"/>
      <w:pPr>
        <w:ind w:left="720" w:hanging="360"/>
      </w:pPr>
      <w:rPr>
        <w:rFonts w:hint="default"/>
        <w:b/>
        <w:bCs/>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AF160DF"/>
    <w:multiLevelType w:val="hybridMultilevel"/>
    <w:tmpl w:val="0F6E2E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1B62D16"/>
    <w:multiLevelType w:val="multilevel"/>
    <w:tmpl w:val="CF8CDC94"/>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9D41403"/>
    <w:multiLevelType w:val="hybridMultilevel"/>
    <w:tmpl w:val="F258D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3EF455C"/>
    <w:multiLevelType w:val="hybridMultilevel"/>
    <w:tmpl w:val="4B58D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833065"/>
    <w:multiLevelType w:val="hybridMultilevel"/>
    <w:tmpl w:val="85D2370E"/>
    <w:lvl w:ilvl="0" w:tplc="94842C02">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164149"/>
    <w:multiLevelType w:val="hybridMultilevel"/>
    <w:tmpl w:val="949CC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425D9B"/>
    <w:multiLevelType w:val="hybridMultilevel"/>
    <w:tmpl w:val="E58E31DA"/>
    <w:lvl w:ilvl="0" w:tplc="67629F7C">
      <w:start w:val="3"/>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21D5124"/>
    <w:multiLevelType w:val="multilevel"/>
    <w:tmpl w:val="2FB69EC0"/>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72FA40C9"/>
    <w:multiLevelType w:val="hybridMultilevel"/>
    <w:tmpl w:val="2B62B238"/>
    <w:lvl w:ilvl="0" w:tplc="A314BC6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76E049D"/>
    <w:multiLevelType w:val="hybridMultilevel"/>
    <w:tmpl w:val="69AA007A"/>
    <w:lvl w:ilvl="0" w:tplc="9F946C12">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4"/>
  </w:num>
  <w:num w:numId="4">
    <w:abstractNumId w:val="6"/>
  </w:num>
  <w:num w:numId="5">
    <w:abstractNumId w:val="0"/>
  </w:num>
  <w:num w:numId="6">
    <w:abstractNumId w:val="5"/>
  </w:num>
  <w:num w:numId="7">
    <w:abstractNumId w:val="7"/>
  </w:num>
  <w:num w:numId="8">
    <w:abstractNumId w:val="11"/>
  </w:num>
  <w:num w:numId="9">
    <w:abstractNumId w:val="3"/>
  </w:num>
  <w:num w:numId="10">
    <w:abstractNumId w:val="9"/>
  </w:num>
  <w:num w:numId="11">
    <w:abstractNumId w:val="10"/>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857"/>
    <w:rsid w:val="00015D1E"/>
    <w:rsid w:val="00016BA7"/>
    <w:rsid w:val="0005759A"/>
    <w:rsid w:val="000C24E3"/>
    <w:rsid w:val="00104AF2"/>
    <w:rsid w:val="00145CBF"/>
    <w:rsid w:val="002343D3"/>
    <w:rsid w:val="00256F3E"/>
    <w:rsid w:val="002831DB"/>
    <w:rsid w:val="00285487"/>
    <w:rsid w:val="003075CB"/>
    <w:rsid w:val="00320922"/>
    <w:rsid w:val="003723A0"/>
    <w:rsid w:val="00432939"/>
    <w:rsid w:val="004B22BD"/>
    <w:rsid w:val="005414B6"/>
    <w:rsid w:val="005D7055"/>
    <w:rsid w:val="005E11B2"/>
    <w:rsid w:val="005E23AB"/>
    <w:rsid w:val="00637A19"/>
    <w:rsid w:val="00650141"/>
    <w:rsid w:val="006B4CB8"/>
    <w:rsid w:val="006C109B"/>
    <w:rsid w:val="00701F03"/>
    <w:rsid w:val="007021A4"/>
    <w:rsid w:val="00780182"/>
    <w:rsid w:val="00794064"/>
    <w:rsid w:val="007D5E10"/>
    <w:rsid w:val="007E2833"/>
    <w:rsid w:val="00857115"/>
    <w:rsid w:val="008A6DE8"/>
    <w:rsid w:val="008F27D3"/>
    <w:rsid w:val="00902AAB"/>
    <w:rsid w:val="009A5101"/>
    <w:rsid w:val="009C13E5"/>
    <w:rsid w:val="009D1D45"/>
    <w:rsid w:val="009D5719"/>
    <w:rsid w:val="009F4F1B"/>
    <w:rsid w:val="009F7410"/>
    <w:rsid w:val="00A70486"/>
    <w:rsid w:val="00A87DBB"/>
    <w:rsid w:val="00AC5C62"/>
    <w:rsid w:val="00AD006B"/>
    <w:rsid w:val="00AD7857"/>
    <w:rsid w:val="00AE3E25"/>
    <w:rsid w:val="00B50FA3"/>
    <w:rsid w:val="00BB0CFC"/>
    <w:rsid w:val="00BB2CD3"/>
    <w:rsid w:val="00BD253E"/>
    <w:rsid w:val="00BE6573"/>
    <w:rsid w:val="00C2470B"/>
    <w:rsid w:val="00C360B7"/>
    <w:rsid w:val="00C36F24"/>
    <w:rsid w:val="00C429C7"/>
    <w:rsid w:val="00D31552"/>
    <w:rsid w:val="00D52C71"/>
    <w:rsid w:val="00D948AB"/>
    <w:rsid w:val="00E16985"/>
    <w:rsid w:val="00E5773E"/>
    <w:rsid w:val="00E921A0"/>
    <w:rsid w:val="00F37247"/>
    <w:rsid w:val="00F64E54"/>
    <w:rsid w:val="00FC7B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C2082D3"/>
  <w14:defaultImageDpi w14:val="32767"/>
  <w15:chartTrackingRefBased/>
  <w15:docId w15:val="{82CFB0BF-6208-CE45-9454-A7FBA188F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D78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D7857"/>
    <w:rPr>
      <w:color w:val="0563C1" w:themeColor="hyperlink"/>
      <w:u w:val="single"/>
    </w:rPr>
  </w:style>
  <w:style w:type="character" w:styleId="UnresolvedMention">
    <w:name w:val="Unresolved Mention"/>
    <w:basedOn w:val="DefaultParagraphFont"/>
    <w:uiPriority w:val="99"/>
    <w:rsid w:val="00AD7857"/>
    <w:rPr>
      <w:color w:val="605E5C"/>
      <w:shd w:val="clear" w:color="auto" w:fill="E1DFDD"/>
    </w:rPr>
  </w:style>
  <w:style w:type="paragraph" w:styleId="ListParagraph">
    <w:name w:val="List Paragraph"/>
    <w:basedOn w:val="Normal"/>
    <w:uiPriority w:val="34"/>
    <w:qFormat/>
    <w:rsid w:val="00AD7857"/>
    <w:pPr>
      <w:ind w:left="720"/>
      <w:contextualSpacing/>
    </w:pPr>
  </w:style>
  <w:style w:type="paragraph" w:styleId="Footer">
    <w:name w:val="footer"/>
    <w:basedOn w:val="Normal"/>
    <w:link w:val="FooterChar"/>
    <w:uiPriority w:val="99"/>
    <w:unhideWhenUsed/>
    <w:rsid w:val="00AD7857"/>
    <w:pPr>
      <w:tabs>
        <w:tab w:val="center" w:pos="4680"/>
        <w:tab w:val="right" w:pos="9360"/>
      </w:tabs>
    </w:pPr>
  </w:style>
  <w:style w:type="character" w:customStyle="1" w:styleId="FooterChar">
    <w:name w:val="Footer Char"/>
    <w:basedOn w:val="DefaultParagraphFont"/>
    <w:link w:val="Footer"/>
    <w:uiPriority w:val="99"/>
    <w:rsid w:val="00AD7857"/>
  </w:style>
  <w:style w:type="character" w:styleId="PageNumber">
    <w:name w:val="page number"/>
    <w:basedOn w:val="DefaultParagraphFont"/>
    <w:uiPriority w:val="99"/>
    <w:semiHidden/>
    <w:unhideWhenUsed/>
    <w:rsid w:val="00AD7857"/>
  </w:style>
  <w:style w:type="table" w:styleId="TableGrid">
    <w:name w:val="Table Grid"/>
    <w:basedOn w:val="TableNormal"/>
    <w:uiPriority w:val="39"/>
    <w:rsid w:val="00AD7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link w:val="TabletitleChar"/>
    <w:qFormat/>
    <w:rsid w:val="00AD7857"/>
    <w:pPr>
      <w:keepNext/>
      <w:spacing w:after="120"/>
      <w:jc w:val="both"/>
    </w:pPr>
    <w:rPr>
      <w:rFonts w:ascii="Garamond" w:eastAsia="Times New Roman" w:hAnsi="Garamond" w:cs="Times New Roman"/>
      <w:b/>
      <w:bCs/>
    </w:rPr>
  </w:style>
  <w:style w:type="character" w:customStyle="1" w:styleId="TabletitleChar">
    <w:name w:val="Table title Char"/>
    <w:basedOn w:val="DefaultParagraphFont"/>
    <w:link w:val="Tabletitle"/>
    <w:rsid w:val="00AD7857"/>
    <w:rPr>
      <w:rFonts w:ascii="Garamond" w:eastAsia="Times New Roman" w:hAnsi="Garamond" w:cs="Times New Roman"/>
      <w:b/>
      <w:bCs/>
    </w:rPr>
  </w:style>
  <w:style w:type="character" w:customStyle="1" w:styleId="BalloonTextChar">
    <w:name w:val="Balloon Text Char"/>
    <w:basedOn w:val="DefaultParagraphFont"/>
    <w:link w:val="BalloonText"/>
    <w:uiPriority w:val="99"/>
    <w:semiHidden/>
    <w:rsid w:val="00AD7857"/>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AD7857"/>
    <w:rPr>
      <w:rFonts w:ascii="Times New Roman" w:hAnsi="Times New Roman" w:cs="Times New Roman"/>
      <w:sz w:val="18"/>
      <w:szCs w:val="18"/>
    </w:rPr>
  </w:style>
  <w:style w:type="paragraph" w:styleId="Header">
    <w:name w:val="header"/>
    <w:basedOn w:val="Normal"/>
    <w:link w:val="HeaderChar"/>
    <w:uiPriority w:val="99"/>
    <w:semiHidden/>
    <w:unhideWhenUsed/>
    <w:rsid w:val="00AD7857"/>
    <w:pPr>
      <w:tabs>
        <w:tab w:val="center" w:pos="4680"/>
        <w:tab w:val="right" w:pos="9360"/>
      </w:tabs>
    </w:pPr>
  </w:style>
  <w:style w:type="character" w:customStyle="1" w:styleId="HeaderChar">
    <w:name w:val="Header Char"/>
    <w:basedOn w:val="DefaultParagraphFont"/>
    <w:link w:val="Header"/>
    <w:uiPriority w:val="99"/>
    <w:semiHidden/>
    <w:rsid w:val="00AD7857"/>
  </w:style>
  <w:style w:type="paragraph" w:styleId="NormalWeb">
    <w:name w:val="Normal (Web)"/>
    <w:basedOn w:val="Normal"/>
    <w:uiPriority w:val="99"/>
    <w:unhideWhenUsed/>
    <w:rsid w:val="00320922"/>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2831DB"/>
  </w:style>
  <w:style w:type="table" w:styleId="TableGridLight">
    <w:name w:val="Grid Table Light"/>
    <w:basedOn w:val="TableNormal"/>
    <w:uiPriority w:val="40"/>
    <w:rsid w:val="00C2470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C2470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8476820">
      <w:bodyDiv w:val="1"/>
      <w:marLeft w:val="0"/>
      <w:marRight w:val="0"/>
      <w:marTop w:val="0"/>
      <w:marBottom w:val="0"/>
      <w:divBdr>
        <w:top w:val="none" w:sz="0" w:space="0" w:color="auto"/>
        <w:left w:val="none" w:sz="0" w:space="0" w:color="auto"/>
        <w:bottom w:val="none" w:sz="0" w:space="0" w:color="auto"/>
        <w:right w:val="none" w:sz="0" w:space="0" w:color="auto"/>
      </w:divBdr>
    </w:div>
    <w:div w:id="843279615">
      <w:bodyDiv w:val="1"/>
      <w:marLeft w:val="0"/>
      <w:marRight w:val="0"/>
      <w:marTop w:val="0"/>
      <w:marBottom w:val="0"/>
      <w:divBdr>
        <w:top w:val="none" w:sz="0" w:space="0" w:color="auto"/>
        <w:left w:val="none" w:sz="0" w:space="0" w:color="auto"/>
        <w:bottom w:val="none" w:sz="0" w:space="0" w:color="auto"/>
        <w:right w:val="none" w:sz="0" w:space="0" w:color="auto"/>
      </w:divBdr>
    </w:div>
    <w:div w:id="855582870">
      <w:bodyDiv w:val="1"/>
      <w:marLeft w:val="0"/>
      <w:marRight w:val="0"/>
      <w:marTop w:val="0"/>
      <w:marBottom w:val="0"/>
      <w:divBdr>
        <w:top w:val="none" w:sz="0" w:space="0" w:color="auto"/>
        <w:left w:val="none" w:sz="0" w:space="0" w:color="auto"/>
        <w:bottom w:val="none" w:sz="0" w:space="0" w:color="auto"/>
        <w:right w:val="none" w:sz="0" w:space="0" w:color="auto"/>
      </w:divBdr>
    </w:div>
    <w:div w:id="1648630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hyperlink" Target="https://ssrn.com/abstract=3614241" TargetMode="Externa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691</TotalTime>
  <Pages>23</Pages>
  <Words>4911</Words>
  <Characters>27995</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Baker, Katie Katherine</dc:creator>
  <cp:keywords/>
  <dc:description/>
  <cp:lastModifiedBy>Baker, Katie Katherine</cp:lastModifiedBy>
  <cp:revision>7</cp:revision>
  <dcterms:created xsi:type="dcterms:W3CDTF">2020-09-14T00:25:00Z</dcterms:created>
  <dcterms:modified xsi:type="dcterms:W3CDTF">2020-09-19T17:03:00Z</dcterms:modified>
</cp:coreProperties>
</file>